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7E" w:rsidRDefault="00F20FD0" w:rsidP="00AB537E">
      <w:pPr>
        <w:framePr w:h="1276" w:hSpace="10080" w:wrap="notBeside" w:vAnchor="text" w:hAnchor="page" w:x="9878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095375" cy="809625"/>
            <wp:effectExtent l="1905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10" w:rsidRDefault="00F20FD0" w:rsidP="001C3210">
      <w:pPr>
        <w:framePr w:h="1267" w:hSpace="10080" w:wrap="notBeside" w:vAnchor="text" w:hAnchor="page" w:x="1058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095375" cy="790575"/>
            <wp:effectExtent l="1905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10" w:rsidRDefault="00F20FD0" w:rsidP="001C3210">
      <w:pPr>
        <w:framePr w:h="1340" w:hSpace="10080" w:wrap="notBeside" w:vAnchor="text" w:hAnchor="page" w:x="3398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009650" cy="847725"/>
            <wp:effectExtent l="1905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10" w:rsidRDefault="00F20FD0" w:rsidP="001C3210">
      <w:pPr>
        <w:framePr w:h="1304" w:hSpace="10080" w:wrap="notBeside" w:vAnchor="text" w:hAnchor="page" w:x="5378" w:y="1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219200" cy="866775"/>
            <wp:effectExtent l="19050" t="0" r="0" b="0"/>
            <wp:docPr id="5" name="Картина 5" descr="mig_logo__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mig_logo__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10" w:rsidRDefault="00F20FD0" w:rsidP="001C3210">
      <w:pPr>
        <w:framePr w:h="1295" w:hSpace="10080" w:wrap="notBeside" w:vAnchor="text" w:hAnchor="page" w:x="7718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162050" cy="819150"/>
            <wp:effectExtent l="1905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7E" w:rsidRDefault="00AB537E" w:rsidP="00AB537E"/>
    <w:p w:rsidR="00AB537E" w:rsidRDefault="00AB537E" w:rsidP="00AB537E"/>
    <w:p w:rsidR="00AB537E" w:rsidRDefault="00AB537E" w:rsidP="00AB537E"/>
    <w:p w:rsidR="00AB537E" w:rsidRDefault="00AB537E" w:rsidP="00AB537E">
      <w:pPr>
        <w:shd w:val="clear" w:color="auto" w:fill="FFFFFF"/>
        <w:spacing w:before="46" w:line="303" w:lineRule="exact"/>
        <w:ind w:left="2636" w:right="539" w:hanging="1587"/>
      </w:pPr>
      <w:r>
        <w:rPr>
          <w:b/>
          <w:bCs/>
          <w:color w:val="808080"/>
          <w:sz w:val="26"/>
          <w:szCs w:val="26"/>
        </w:rPr>
        <w:t>Европейски земеделски фонд за развитие на селските райони – Европа инвестира в селските райони</w:t>
      </w:r>
    </w:p>
    <w:p w:rsidR="00AB537E" w:rsidRDefault="00AB537E" w:rsidP="00AB537E">
      <w:pPr>
        <w:shd w:val="clear" w:color="auto" w:fill="FFFFFF"/>
        <w:spacing w:before="25"/>
        <w:ind w:left="602"/>
      </w:pPr>
      <w:r>
        <w:rPr>
          <w:b/>
          <w:bCs/>
          <w:color w:val="000000"/>
          <w:sz w:val="26"/>
          <w:szCs w:val="26"/>
        </w:rPr>
        <w:t xml:space="preserve">ПРОГРАМА ЗА РАЗВИТИЕ НА СЕЛСКИТЕ РАЙОНИ  2007 –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color w:val="000000"/>
            <w:sz w:val="26"/>
            <w:szCs w:val="26"/>
          </w:rPr>
          <w:t>2013 г</w:t>
        </w:r>
      </w:smartTag>
      <w:r>
        <w:rPr>
          <w:b/>
          <w:bCs/>
          <w:color w:val="000000"/>
          <w:sz w:val="26"/>
          <w:szCs w:val="26"/>
        </w:rPr>
        <w:t>.</w:t>
      </w:r>
    </w:p>
    <w:p w:rsidR="00AB537E" w:rsidRDefault="00AB537E" w:rsidP="00AB537E">
      <w:pPr>
        <w:shd w:val="clear" w:color="auto" w:fill="FFFFFF"/>
        <w:spacing w:before="125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СТРАТЕГИЯТА ЗА МЕСТНО РАЗВИТИЕ на МИГ КНЕЖА</w:t>
      </w:r>
    </w:p>
    <w:p w:rsidR="00AB537E" w:rsidRDefault="00AB537E" w:rsidP="00AB537E">
      <w:pPr>
        <w:shd w:val="clear" w:color="auto" w:fill="FFFFFF"/>
        <w:spacing w:before="1120"/>
        <w:jc w:val="center"/>
      </w:pPr>
      <w:r>
        <w:rPr>
          <w:b/>
          <w:bCs/>
          <w:color w:val="000000"/>
          <w:sz w:val="26"/>
          <w:szCs w:val="26"/>
        </w:rPr>
        <w:t>ГОДИШЕН ДОКЛАД</w:t>
      </w:r>
    </w:p>
    <w:p w:rsidR="00AB537E" w:rsidRDefault="00AB537E" w:rsidP="00AB537E">
      <w:pPr>
        <w:shd w:val="clear" w:color="auto" w:fill="FFFFFF"/>
        <w:spacing w:before="215"/>
        <w:ind w:left="733"/>
      </w:pPr>
      <w:r>
        <w:rPr>
          <w:b/>
          <w:bCs/>
          <w:color w:val="000000"/>
          <w:sz w:val="22"/>
          <w:szCs w:val="22"/>
        </w:rPr>
        <w:t>ЗА ОТЧИТАНЕ ИЗПЪЛНЕНИЕТО НА СТРАТЕГИЯТА ЗА МЕСТО РАЗВИТИЕ</w:t>
      </w:r>
    </w:p>
    <w:p w:rsidR="00AB537E" w:rsidRDefault="00AB537E" w:rsidP="00AB537E">
      <w:pPr>
        <w:spacing w:after="2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5"/>
        <w:gridCol w:w="4345"/>
      </w:tblGrid>
      <w:tr w:rsidR="00AB537E" w:rsidTr="00AB537E">
        <w:trPr>
          <w:trHeight w:hRule="exact" w:val="552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 на отчитане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01.01.2015</w:t>
            </w:r>
            <w:r>
              <w:rPr>
                <w:color w:val="000000"/>
                <w:sz w:val="24"/>
                <w:szCs w:val="24"/>
              </w:rPr>
              <w:t>г.- 31.12.201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B537E" w:rsidTr="00AB537E">
        <w:trPr>
          <w:trHeight w:hRule="exact" w:val="526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Пореден номер на доклада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17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B537E" w:rsidTr="00AB537E">
        <w:trPr>
          <w:trHeight w:hRule="exact" w:val="787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57" w:lineRule="exact"/>
              <w:ind w:left="4" w:right="4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на договора за предоставяне на безвъзмездна финансова помощ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 50-94 / 13.06.2012г.</w:t>
            </w:r>
          </w:p>
        </w:tc>
      </w:tr>
      <w:tr w:rsidR="00AB537E" w:rsidTr="00AB537E">
        <w:trPr>
          <w:trHeight w:hRule="exact" w:val="783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61" w:lineRule="exact"/>
              <w:ind w:right="56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Данни за предходни доклади </w:t>
            </w:r>
            <w:r>
              <w:rPr>
                <w:i/>
                <w:iCs/>
                <w:color w:val="000000"/>
                <w:sz w:val="24"/>
                <w:szCs w:val="24"/>
              </w:rPr>
              <w:t>(попълва се входящия номер/дата на предходните доклади)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B537E" w:rsidTr="00AB537E">
        <w:trPr>
          <w:trHeight w:hRule="exact" w:val="1123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Седалище и адрес на управление на МИГ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57" w:lineRule="exact"/>
              <w:ind w:right="2177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Община Кнежа </w:t>
            </w:r>
          </w:p>
          <w:p w:rsidR="00AB537E" w:rsidRDefault="00AB537E">
            <w:pPr>
              <w:shd w:val="clear" w:color="auto" w:fill="FFFFFF"/>
              <w:spacing w:line="257" w:lineRule="exact"/>
              <w:ind w:right="2177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5835, гр. Кнежа </w:t>
            </w:r>
          </w:p>
          <w:p w:rsidR="00AB537E" w:rsidRDefault="00AB537E">
            <w:pPr>
              <w:shd w:val="clear" w:color="auto" w:fill="FFFFFF"/>
              <w:spacing w:line="257" w:lineRule="exact"/>
              <w:ind w:right="2177" w:firstLine="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„Марин Боев”№69  </w:t>
            </w:r>
          </w:p>
        </w:tc>
      </w:tr>
      <w:tr w:rsidR="00AB537E" w:rsidTr="00AB537E">
        <w:trPr>
          <w:trHeight w:hRule="exact" w:val="787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65" w:lineRule="exact"/>
              <w:ind w:left="4" w:right="59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 на Управителен орган / представляващ МИГ/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65" w:lineRule="exact"/>
              <w:ind w:right="18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Милена Горанова председател на УС</w:t>
            </w:r>
          </w:p>
        </w:tc>
      </w:tr>
      <w:tr w:rsidR="00AB537E" w:rsidTr="00AB537E">
        <w:trPr>
          <w:trHeight w:hRule="exact" w:val="1889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61" w:lineRule="exact"/>
              <w:ind w:left="4" w:right="897" w:firstLine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Телефон, факс, електронен адрес, интернет страница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tabs>
                <w:tab w:val="left" w:pos="4075"/>
              </w:tabs>
              <w:spacing w:line="257" w:lineRule="exact"/>
              <w:ind w:right="550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Тел/факс:09132/40-56;09132/ 4153</w:t>
            </w:r>
          </w:p>
          <w:p w:rsidR="00AB537E" w:rsidRDefault="00AB537E">
            <w:pPr>
              <w:shd w:val="clear" w:color="auto" w:fill="FFFFFF"/>
              <w:tabs>
                <w:tab w:val="left" w:pos="1015"/>
              </w:tabs>
              <w:spacing w:line="257" w:lineRule="exact"/>
              <w:ind w:right="1259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Мобилен тел.: 0895/413568</w:t>
            </w:r>
          </w:p>
          <w:p w:rsidR="00AB537E" w:rsidRDefault="00AB537E">
            <w:pPr>
              <w:shd w:val="clear" w:color="auto" w:fill="FFFFFF"/>
              <w:spacing w:line="257" w:lineRule="exact"/>
              <w:ind w:right="1259" w:firstLine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</w:t>
            </w:r>
            <w:hyperlink r:id="rId10" w:history="1">
              <w:r>
                <w:rPr>
                  <w:rStyle w:val="a3"/>
                  <w:sz w:val="24"/>
                  <w:szCs w:val="24"/>
                  <w:lang w:val="de-DE"/>
                </w:rPr>
                <w:t>cvid</w:t>
              </w:r>
              <w:r>
                <w:rPr>
                  <w:rStyle w:val="a3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sz w:val="24"/>
                  <w:szCs w:val="24"/>
                  <w:lang w:val="de-DE"/>
                </w:rPr>
                <w:t>mig</w:t>
              </w:r>
              <w:r>
                <w:rPr>
                  <w:rStyle w:val="a3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sz w:val="24"/>
                  <w:szCs w:val="24"/>
                  <w:lang w:val="de-DE"/>
                </w:rPr>
                <w:t>knezha</w:t>
              </w:r>
              <w:r>
                <w:rPr>
                  <w:rStyle w:val="a3"/>
                  <w:sz w:val="24"/>
                  <w:szCs w:val="24"/>
                  <w:lang w:val="ru-RU"/>
                </w:rPr>
                <w:t>@</w:t>
              </w:r>
              <w:r>
                <w:rPr>
                  <w:rStyle w:val="a3"/>
                  <w:sz w:val="24"/>
                  <w:szCs w:val="24"/>
                  <w:lang w:val="de-DE"/>
                </w:rPr>
                <w:t>mail</w:t>
              </w:r>
              <w:r>
                <w:rPr>
                  <w:rStyle w:val="a3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sz w:val="24"/>
                  <w:szCs w:val="24"/>
                  <w:lang w:val="de-DE"/>
                </w:rPr>
                <w:t>bg</w:t>
              </w:r>
            </w:hyperlink>
          </w:p>
          <w:p w:rsidR="00AB537E" w:rsidRDefault="00B7091A">
            <w:pPr>
              <w:shd w:val="clear" w:color="auto" w:fill="FFFFFF"/>
              <w:spacing w:line="257" w:lineRule="exact"/>
              <w:ind w:right="1259" w:firstLine="4"/>
              <w:jc w:val="both"/>
              <w:rPr>
                <w:sz w:val="24"/>
                <w:szCs w:val="24"/>
                <w:lang w:val="de-DE"/>
              </w:rPr>
            </w:pPr>
            <w:hyperlink r:id="rId11" w:history="1">
              <w:r w:rsidR="00AB537E">
                <w:rPr>
                  <w:rStyle w:val="a3"/>
                  <w:sz w:val="24"/>
                  <w:szCs w:val="24"/>
                  <w:lang w:val="de-DE"/>
                </w:rPr>
                <w:t>www.knezha-leader.com</w:t>
              </w:r>
            </w:hyperlink>
          </w:p>
          <w:p w:rsidR="00AB537E" w:rsidRDefault="00AB537E">
            <w:pPr>
              <w:shd w:val="clear" w:color="auto" w:fill="FFFFFF"/>
              <w:spacing w:line="257" w:lineRule="exact"/>
              <w:ind w:right="1259" w:firstLine="4"/>
              <w:jc w:val="both"/>
              <w:rPr>
                <w:sz w:val="24"/>
                <w:szCs w:val="24"/>
                <w:lang w:val="de-DE"/>
              </w:rPr>
            </w:pPr>
          </w:p>
        </w:tc>
      </w:tr>
    </w:tbl>
    <w:p w:rsidR="00AB537E" w:rsidRDefault="00AB537E" w:rsidP="00AB537E">
      <w:pPr>
        <w:shd w:val="clear" w:color="auto" w:fill="FFFFFF"/>
        <w:spacing w:before="1251"/>
        <w:jc w:val="center"/>
      </w:pPr>
    </w:p>
    <w:p w:rsidR="00AB537E" w:rsidRPr="009E3840" w:rsidRDefault="00AB537E" w:rsidP="00AB537E">
      <w:pPr>
        <w:rPr>
          <w:lang w:val="en-US"/>
        </w:rPr>
      </w:pPr>
    </w:p>
    <w:p w:rsidR="00AB537E" w:rsidRDefault="00AB537E" w:rsidP="00AB537E"/>
    <w:p w:rsidR="00AB537E" w:rsidRDefault="00AB537E" w:rsidP="00AB537E">
      <w:pPr>
        <w:rPr>
          <w:lang w:val="ru-RU"/>
        </w:rPr>
      </w:pPr>
    </w:p>
    <w:p w:rsidR="00AB537E" w:rsidRDefault="00AB537E" w:rsidP="00AB537E">
      <w:pPr>
        <w:shd w:val="clear" w:color="auto" w:fill="FFFFFF"/>
        <w:spacing w:line="360" w:lineRule="auto"/>
        <w:ind w:left="36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 Кратко резюме на извършената дейност:</w:t>
      </w:r>
    </w:p>
    <w:p w:rsidR="00AB537E" w:rsidRPr="00AB537E" w:rsidRDefault="00AB537E" w:rsidP="00AB537E">
      <w:pPr>
        <w:spacing w:line="360" w:lineRule="auto"/>
        <w:rPr>
          <w:sz w:val="24"/>
          <w:szCs w:val="24"/>
          <w:lang w:val="ru-RU"/>
        </w:rPr>
      </w:pPr>
    </w:p>
    <w:p w:rsidR="00AB537E" w:rsidRDefault="00AB537E" w:rsidP="00AB537E">
      <w:pPr>
        <w:shd w:val="clear" w:color="auto" w:fill="FFFFFF"/>
        <w:spacing w:before="216" w:line="360" w:lineRule="auto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Отчетният период от 01.01.201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г. до 31.12.201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г.  в изпълнение на Стратегията на МИГ Кнежа протече в изпълнението на следните дейности:</w:t>
      </w:r>
    </w:p>
    <w:p w:rsidR="00AB537E" w:rsidRDefault="00AB537E" w:rsidP="00AB537E">
      <w:pPr>
        <w:shd w:val="clear" w:color="auto" w:fill="FFFFFF"/>
        <w:spacing w:before="216" w:line="360" w:lineRule="auto"/>
        <w:ind w:left="5"/>
        <w:rPr>
          <w:color w:val="000000"/>
          <w:sz w:val="24"/>
          <w:szCs w:val="24"/>
        </w:rPr>
      </w:pPr>
    </w:p>
    <w:p w:rsidR="00AB537E" w:rsidRDefault="00AB537E" w:rsidP="00AB537E">
      <w:pPr>
        <w:numPr>
          <w:ilvl w:val="0"/>
          <w:numId w:val="4"/>
        </w:numPr>
        <w:tabs>
          <w:tab w:val="left" w:pos="672"/>
        </w:tabs>
        <w:spacing w:before="24" w:line="360" w:lineRule="auto"/>
        <w:ind w:left="672" w:hanging="322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Информиране на населението и популяризиране дейностите по СМР,  и провеждане на информационни срещи във всички населени места на територията на МИГ- Кнежа,  радио предавания и съобщения в местни медии;изработка на филми за  реализирани проекти.</w:t>
      </w:r>
    </w:p>
    <w:p w:rsidR="00AB537E" w:rsidRDefault="008E7418" w:rsidP="00AB537E">
      <w:pPr>
        <w:numPr>
          <w:ilvl w:val="0"/>
          <w:numId w:val="4"/>
        </w:numPr>
        <w:tabs>
          <w:tab w:val="left" w:pos="672"/>
        </w:tabs>
        <w:spacing w:before="24" w:line="360" w:lineRule="auto"/>
        <w:ind w:left="672" w:hanging="322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>Организиране на двудневно обучи</w:t>
      </w:r>
      <w:r w:rsidR="00AB537E">
        <w:rPr>
          <w:sz w:val="22"/>
          <w:szCs w:val="22"/>
        </w:rPr>
        <w:t>телно пътуване за изпълнителния директор,експерта СМР, счетоводителя и техническия асистент в друг МИГ в Република България с цел обмяна</w:t>
      </w:r>
      <w:r w:rsidRPr="008E7418">
        <w:rPr>
          <w:sz w:val="22"/>
          <w:szCs w:val="22"/>
          <w:lang w:val="ru-RU"/>
        </w:rPr>
        <w:t xml:space="preserve"> </w:t>
      </w:r>
      <w:r w:rsidR="00AB537E">
        <w:rPr>
          <w:sz w:val="22"/>
          <w:szCs w:val="22"/>
        </w:rPr>
        <w:t>на опит при приключването и отчитането на СМР</w:t>
      </w:r>
    </w:p>
    <w:p w:rsidR="00AB537E" w:rsidRDefault="00AB537E" w:rsidP="00AB537E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4" w:line="360" w:lineRule="auto"/>
        <w:ind w:left="36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Мониторинг доклади.</w:t>
      </w:r>
    </w:p>
    <w:p w:rsidR="00AB537E" w:rsidRDefault="00AB537E" w:rsidP="00AB537E">
      <w:pPr>
        <w:numPr>
          <w:ilvl w:val="0"/>
          <w:numId w:val="4"/>
        </w:numPr>
        <w:shd w:val="clear" w:color="auto" w:fill="FFFFFF"/>
        <w:tabs>
          <w:tab w:val="left" w:pos="672"/>
        </w:tabs>
        <w:spacing w:before="24" w:line="360" w:lineRule="auto"/>
        <w:ind w:left="672" w:hanging="322"/>
        <w:rPr>
          <w:sz w:val="24"/>
          <w:szCs w:val="24"/>
        </w:rPr>
      </w:pPr>
      <w:r>
        <w:rPr>
          <w:sz w:val="24"/>
          <w:szCs w:val="24"/>
        </w:rPr>
        <w:t>Изработка на рекламни артикули/ тениски, шапки, химикалки и т.н/ с цел популяризирането на МИГ- Кнежа</w:t>
      </w:r>
    </w:p>
    <w:p w:rsidR="00AB537E" w:rsidRDefault="00AB537E" w:rsidP="00AB537E">
      <w:pPr>
        <w:numPr>
          <w:ilvl w:val="0"/>
          <w:numId w:val="4"/>
        </w:numPr>
        <w:shd w:val="clear" w:color="auto" w:fill="FFFFFF"/>
        <w:tabs>
          <w:tab w:val="left" w:pos="672"/>
        </w:tabs>
        <w:spacing w:before="24" w:line="360" w:lineRule="auto"/>
        <w:ind w:left="672" w:hanging="322"/>
        <w:rPr>
          <w:sz w:val="24"/>
          <w:szCs w:val="24"/>
        </w:rPr>
      </w:pPr>
      <w:r>
        <w:rPr>
          <w:sz w:val="24"/>
          <w:szCs w:val="24"/>
        </w:rPr>
        <w:t>Осигуряване на публичност и прозрачност на всички етапи от изпълнението на СМР</w:t>
      </w:r>
    </w:p>
    <w:p w:rsidR="00AB537E" w:rsidRPr="003C097B" w:rsidRDefault="00AB537E" w:rsidP="00AB537E">
      <w:pPr>
        <w:numPr>
          <w:ilvl w:val="0"/>
          <w:numId w:val="4"/>
        </w:numPr>
        <w:shd w:val="clear" w:color="auto" w:fill="FFFFFF"/>
        <w:tabs>
          <w:tab w:val="left" w:pos="672"/>
        </w:tabs>
        <w:spacing w:before="24" w:line="360" w:lineRule="auto"/>
        <w:ind w:left="672" w:hanging="322"/>
        <w:rPr>
          <w:sz w:val="24"/>
          <w:szCs w:val="24"/>
        </w:rPr>
      </w:pPr>
      <w:r>
        <w:rPr>
          <w:sz w:val="22"/>
          <w:szCs w:val="22"/>
        </w:rPr>
        <w:t>Обучение на тема "Най-често допускани грешки и нарушения при обществените поръчки"</w:t>
      </w:r>
    </w:p>
    <w:p w:rsidR="003C097B" w:rsidRPr="00B84023" w:rsidRDefault="003C097B" w:rsidP="00AB537E">
      <w:pPr>
        <w:numPr>
          <w:ilvl w:val="0"/>
          <w:numId w:val="4"/>
        </w:numPr>
        <w:shd w:val="clear" w:color="auto" w:fill="FFFFFF"/>
        <w:tabs>
          <w:tab w:val="left" w:pos="672"/>
        </w:tabs>
        <w:spacing w:before="24" w:line="360" w:lineRule="auto"/>
        <w:ind w:left="672" w:hanging="322"/>
        <w:rPr>
          <w:sz w:val="24"/>
          <w:szCs w:val="24"/>
        </w:rPr>
      </w:pPr>
      <w:r>
        <w:rPr>
          <w:sz w:val="22"/>
          <w:szCs w:val="22"/>
        </w:rPr>
        <w:t>Създаване и поддръжка на актуални новини и база данни на проекти интернет страницата на МИГ-а;</w:t>
      </w:r>
    </w:p>
    <w:p w:rsidR="00B84023" w:rsidRPr="001A6909" w:rsidRDefault="00B84023" w:rsidP="0043535A">
      <w:pPr>
        <w:numPr>
          <w:ilvl w:val="0"/>
          <w:numId w:val="4"/>
        </w:numPr>
        <w:spacing w:line="360" w:lineRule="auto"/>
        <w:ind w:left="672" w:hanging="322"/>
        <w:jc w:val="both"/>
        <w:rPr>
          <w:sz w:val="24"/>
          <w:szCs w:val="24"/>
        </w:rPr>
      </w:pPr>
      <w:r w:rsidRPr="001A6909">
        <w:rPr>
          <w:sz w:val="24"/>
          <w:szCs w:val="24"/>
        </w:rPr>
        <w:t>Организиране и провеждане на среща с млади фермери /30 човека абитуриенти от ПГССТ+ 3 преподаватели+3 човека от персонал на МИГ, общо 36 души/ на тема "Финансирането на земеделски производители от МИГ - Кнежа- алтернатива да останем и работим в родния край".Срещата  се организира извън територията на МИГ –Кнежа в град Луковит.</w:t>
      </w:r>
    </w:p>
    <w:p w:rsidR="00B84023" w:rsidRPr="001A6909" w:rsidRDefault="00B84023" w:rsidP="0043535A">
      <w:pPr>
        <w:numPr>
          <w:ilvl w:val="0"/>
          <w:numId w:val="4"/>
        </w:numPr>
        <w:spacing w:line="360" w:lineRule="auto"/>
        <w:ind w:left="672" w:hanging="322"/>
        <w:jc w:val="both"/>
        <w:rPr>
          <w:sz w:val="24"/>
          <w:szCs w:val="24"/>
        </w:rPr>
      </w:pPr>
      <w:r w:rsidRPr="001A6909">
        <w:rPr>
          <w:sz w:val="24"/>
          <w:szCs w:val="24"/>
        </w:rPr>
        <w:t>Организиране и провеждане на пресконференция в БТА - Плевен относно приключване на Стратегията за местно развитие на МИГ – Кнежа</w:t>
      </w:r>
    </w:p>
    <w:p w:rsidR="00B84023" w:rsidRPr="00B84023" w:rsidRDefault="00B84023" w:rsidP="0043535A">
      <w:pPr>
        <w:numPr>
          <w:ilvl w:val="0"/>
          <w:numId w:val="4"/>
        </w:numPr>
        <w:spacing w:line="360" w:lineRule="auto"/>
        <w:ind w:left="672" w:hanging="322"/>
        <w:jc w:val="both"/>
        <w:rPr>
          <w:sz w:val="24"/>
          <w:szCs w:val="24"/>
          <w:lang w:val="ru-RU"/>
        </w:rPr>
      </w:pPr>
      <w:r w:rsidRPr="001A6909">
        <w:rPr>
          <w:sz w:val="24"/>
          <w:szCs w:val="24"/>
        </w:rPr>
        <w:t>Изработване на 3 броя 10 минутни филми с превод на английски език за изпълнението на СМР и значението на МИГ и подхода Лидер</w:t>
      </w:r>
    </w:p>
    <w:p w:rsidR="00AB537E" w:rsidRDefault="00AB537E" w:rsidP="003C097B">
      <w:pPr>
        <w:shd w:val="clear" w:color="auto" w:fill="FFFFFF"/>
        <w:tabs>
          <w:tab w:val="left" w:pos="360"/>
        </w:tabs>
        <w:spacing w:before="24" w:line="360" w:lineRule="auto"/>
        <w:rPr>
          <w:sz w:val="24"/>
          <w:szCs w:val="24"/>
        </w:rPr>
      </w:pPr>
    </w:p>
    <w:p w:rsidR="00AB537E" w:rsidRDefault="00AB537E" w:rsidP="00AB537E">
      <w:pPr>
        <w:shd w:val="clear" w:color="auto" w:fill="FFFFFF"/>
        <w:tabs>
          <w:tab w:val="left" w:pos="672"/>
        </w:tabs>
        <w:spacing w:before="24" w:line="360" w:lineRule="auto"/>
        <w:ind w:left="350"/>
        <w:rPr>
          <w:sz w:val="24"/>
          <w:szCs w:val="24"/>
        </w:rPr>
      </w:pPr>
    </w:p>
    <w:p w:rsidR="00AB537E" w:rsidRPr="009E3840" w:rsidRDefault="00AB537E" w:rsidP="009E3840">
      <w:pPr>
        <w:shd w:val="clear" w:color="auto" w:fill="FFFFFF"/>
        <w:tabs>
          <w:tab w:val="left" w:pos="672"/>
        </w:tabs>
        <w:spacing w:before="24" w:line="360" w:lineRule="auto"/>
        <w:rPr>
          <w:b/>
          <w:bCs/>
          <w:color w:val="000000"/>
          <w:sz w:val="24"/>
          <w:szCs w:val="24"/>
          <w:lang w:val="en-US"/>
        </w:rPr>
      </w:pPr>
    </w:p>
    <w:p w:rsidR="00AB537E" w:rsidRDefault="00AB537E" w:rsidP="00AB537E">
      <w:pPr>
        <w:shd w:val="clear" w:color="auto" w:fill="FFFFFF"/>
        <w:tabs>
          <w:tab w:val="left" w:pos="672"/>
        </w:tabs>
        <w:spacing w:before="24" w:line="360" w:lineRule="auto"/>
        <w:ind w:left="350"/>
        <w:rPr>
          <w:b/>
          <w:bCs/>
          <w:color w:val="000000"/>
          <w:sz w:val="24"/>
          <w:szCs w:val="24"/>
        </w:rPr>
      </w:pPr>
    </w:p>
    <w:p w:rsidR="00AB537E" w:rsidRDefault="00AB537E" w:rsidP="00AB537E">
      <w:pPr>
        <w:shd w:val="clear" w:color="auto" w:fill="FFFFFF"/>
        <w:tabs>
          <w:tab w:val="left" w:pos="672"/>
        </w:tabs>
        <w:spacing w:before="24" w:line="360" w:lineRule="auto"/>
        <w:ind w:left="35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Цели на стратегията за местно развитие.</w:t>
      </w:r>
    </w:p>
    <w:p w:rsidR="00AB537E" w:rsidRDefault="00AB537E" w:rsidP="00AB537E">
      <w:pPr>
        <w:shd w:val="clear" w:color="auto" w:fill="FFFFFF"/>
        <w:spacing w:before="178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Стратегическата цел на Стратегията за местно развитие </w:t>
      </w:r>
      <w:r>
        <w:rPr>
          <w:color w:val="000000"/>
          <w:sz w:val="24"/>
          <w:szCs w:val="24"/>
        </w:rPr>
        <w:t xml:space="preserve">е </w:t>
      </w:r>
      <w:r>
        <w:rPr>
          <w:b/>
          <w:sz w:val="24"/>
          <w:szCs w:val="24"/>
        </w:rPr>
        <w:t xml:space="preserve">Устойчиво развитие на територията на МИГ Кнежа.  </w:t>
      </w:r>
      <w:r>
        <w:rPr>
          <w:color w:val="000000"/>
          <w:sz w:val="24"/>
          <w:szCs w:val="24"/>
        </w:rPr>
        <w:t xml:space="preserve">За постигането на целта, насочена към устойчивост на територията с планирани обединени действия, Стратегията определя два </w:t>
      </w:r>
      <w:proofErr w:type="spellStart"/>
      <w:r>
        <w:rPr>
          <w:color w:val="000000"/>
          <w:sz w:val="24"/>
          <w:szCs w:val="24"/>
        </w:rPr>
        <w:t>равнопоставени</w:t>
      </w:r>
      <w:proofErr w:type="spellEnd"/>
      <w:r>
        <w:rPr>
          <w:color w:val="000000"/>
          <w:sz w:val="24"/>
          <w:szCs w:val="24"/>
        </w:rPr>
        <w:t xml:space="preserve"> приоритета - от една страна, хората да живеят по-богато, а от друга – при по-добри условия.</w:t>
      </w:r>
    </w:p>
    <w:p w:rsidR="00AB537E" w:rsidRDefault="00AB537E" w:rsidP="00AB537E">
      <w:pPr>
        <w:shd w:val="clear" w:color="auto" w:fill="FFFFFF"/>
        <w:spacing w:line="360" w:lineRule="auto"/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>Първият приоритет: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sz w:val="24"/>
          <w:szCs w:val="24"/>
        </w:rPr>
        <w:t>Подобряване конкурентоспособността на земеделските стопанства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е свързан с модернизиране на производствените условия на стопанствата, насърчаване въвеждането на нови технологични решения и повишаване на икономическата ефективност на предприятията.Постигането на конкурентоспособност означава подобряване на икономическите резултати от земеделския отрасъл, като се намаляват производствените разходи, увеличава се икономическия размер на стопанствата и се насърчат иновациите.</w:t>
      </w:r>
    </w:p>
    <w:p w:rsidR="00AB537E" w:rsidRDefault="00AB537E" w:rsidP="00AB537E">
      <w:pPr>
        <w:shd w:val="clear" w:color="auto" w:fill="FFFFFF"/>
        <w:spacing w:before="125" w:line="36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Вторият приоритет: </w:t>
      </w:r>
      <w:r>
        <w:rPr>
          <w:b/>
          <w:bCs/>
          <w:i/>
          <w:iCs/>
          <w:sz w:val="24"/>
          <w:szCs w:val="24"/>
        </w:rPr>
        <w:t xml:space="preserve">Подобряване качеството на живот на територията на МИГ Кнежа </w:t>
      </w:r>
      <w:r>
        <w:rPr>
          <w:sz w:val="24"/>
          <w:szCs w:val="24"/>
        </w:rPr>
        <w:t xml:space="preserve">произтича от желанието да се насърчи неземеделското предприемачество и да се подобрят условията за предоставяне на обществени, културни, спортни и социални услуги. Развитието на неземеделско направление в местната икономика на МИГ Кнежа е предпоставка за повишаване на заетостта и доходите на територията, чийто краен резултат води до подобряване качеството на живот. Съществуващите активи за спорт, отдих и култура  не са малко и ролята им в диверсификация на местната икономика не бива да се подценява. Започналото обновяване на техническата инфраструктура ще окаже допълнителен положителен ефект върху този процес, отговаряйки на потребностите на населението от съвременни условия и среда за живот. </w:t>
      </w:r>
    </w:p>
    <w:p w:rsidR="00AB537E" w:rsidRDefault="00AB537E" w:rsidP="00AB537E">
      <w:pPr>
        <w:spacing w:line="360" w:lineRule="auto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Специфичните цели по приоритет 1:</w:t>
      </w:r>
      <w:r>
        <w:rPr>
          <w:b/>
          <w:bCs/>
          <w:i/>
          <w:iCs/>
          <w:sz w:val="24"/>
          <w:szCs w:val="24"/>
        </w:rPr>
        <w:t xml:space="preserve"> Подобряване конкурентоспособността на земеделските стопанства</w:t>
      </w: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 Модернизиране на производствените условия на стопанствата и насърчаване въвеждането на нови технологични решения;</w:t>
      </w:r>
    </w:p>
    <w:p w:rsidR="00AB537E" w:rsidRPr="009E3840" w:rsidRDefault="00AB537E" w:rsidP="00AB537E">
      <w:pPr>
        <w:spacing w:after="12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1.2 Повишаване на икономическата ефективност на предприятията</w:t>
      </w: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Постигането на конкурентоспособност означава подобряване на икономическите резултати от земеделския отрасъл, като се намаляват производствените разходи, </w:t>
      </w:r>
    </w:p>
    <w:p w:rsidR="00AB537E" w:rsidRDefault="00AB537E" w:rsidP="00AB537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увеличава се икономическият размер на стопанствата и се насърчат иновациите.</w:t>
      </w:r>
    </w:p>
    <w:p w:rsidR="009E3840" w:rsidRPr="009E3840" w:rsidRDefault="009E3840" w:rsidP="00AB537E">
      <w:pPr>
        <w:spacing w:line="360" w:lineRule="auto"/>
        <w:jc w:val="both"/>
        <w:rPr>
          <w:sz w:val="24"/>
          <w:szCs w:val="24"/>
          <w:lang w:val="en-US"/>
        </w:rPr>
      </w:pPr>
    </w:p>
    <w:p w:rsidR="00AB537E" w:rsidRPr="009E3840" w:rsidRDefault="00AB537E" w:rsidP="00AB537E">
      <w:pPr>
        <w:spacing w:after="120"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Специфични цели по приоритет 2 </w:t>
      </w:r>
      <w:r>
        <w:rPr>
          <w:b/>
          <w:i/>
          <w:sz w:val="24"/>
          <w:szCs w:val="24"/>
        </w:rPr>
        <w:t xml:space="preserve">„Подобряване качеството на живот” </w:t>
      </w:r>
      <w:r>
        <w:rPr>
          <w:sz w:val="24"/>
          <w:szCs w:val="24"/>
        </w:rPr>
        <w:t>са:</w:t>
      </w:r>
    </w:p>
    <w:p w:rsidR="00AB537E" w:rsidRPr="009E3840" w:rsidRDefault="00AB537E" w:rsidP="00AB537E">
      <w:pPr>
        <w:spacing w:after="12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2.1. Насърчаване на неземеделското предприемачество </w:t>
      </w: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Подобряване  на условията за предоставяне на обществени, културни, спортни и социални  услуги</w:t>
      </w: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Развитието на неземеделско направление в местната икономика на МИГ Кнежа е предпоставка за повишаване на заетостта и доходите на територията, чийто краен резултат води до подобряване качеството на живот. Находчиви инвестиции в изграждане на туристически атрактивни земеделски ферми, съчетани с подходящи </w:t>
      </w:r>
      <w:r w:rsidR="006737CA">
        <w:rPr>
          <w:sz w:val="24"/>
          <w:szCs w:val="24"/>
        </w:rPr>
        <w:t xml:space="preserve">маркетингови инструменти и </w:t>
      </w:r>
      <w:proofErr w:type="spellStart"/>
      <w:r w:rsidR="006737CA">
        <w:rPr>
          <w:sz w:val="24"/>
          <w:szCs w:val="24"/>
        </w:rPr>
        <w:t>еко</w:t>
      </w:r>
      <w:r>
        <w:rPr>
          <w:sz w:val="24"/>
          <w:szCs w:val="24"/>
        </w:rPr>
        <w:t>съобразно</w:t>
      </w:r>
      <w:proofErr w:type="spellEnd"/>
      <w:r>
        <w:rPr>
          <w:sz w:val="24"/>
          <w:szCs w:val="24"/>
        </w:rPr>
        <w:t xml:space="preserve"> производство и реализация на собствена проду</w:t>
      </w:r>
      <w:r w:rsidR="006737CA">
        <w:rPr>
          <w:sz w:val="24"/>
          <w:szCs w:val="24"/>
        </w:rPr>
        <w:t>к</w:t>
      </w:r>
      <w:r>
        <w:rPr>
          <w:sz w:val="24"/>
          <w:szCs w:val="24"/>
        </w:rPr>
        <w:t>ция несъмнено биха повишили дела на неземеделските дейности в местната икономика като постепенно намалят зависимостта й от селското стопанство. Съществуващите активи за спорт, отдих и култура не са малко и ролята им в диверсификация на местната икономика не бива да се подценява. Започналото обновяване на техническата инфраструктура ще окаже допълнителен положителен ефект върху този процес, отговаряйки на потребностите на населението от съвременни условия и среда за живот.</w:t>
      </w: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Кратко описание на изпълнението на СМР:</w:t>
      </w:r>
    </w:p>
    <w:p w:rsidR="00AB537E" w:rsidRPr="00AB537E" w:rsidRDefault="00AB537E" w:rsidP="00AB537E">
      <w:pPr>
        <w:shd w:val="clear" w:color="auto" w:fill="FFFFFF"/>
        <w:spacing w:before="182" w:line="360" w:lineRule="auto"/>
        <w:ind w:firstLine="667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По Договор № РД 50-94/ 13.06.2012 г през периода бяха изпълн</w:t>
      </w:r>
      <w:r w:rsidR="00A5281C">
        <w:rPr>
          <w:color w:val="000000"/>
          <w:sz w:val="24"/>
          <w:szCs w:val="24"/>
        </w:rPr>
        <w:t>явани дейности планирани за 2015</w:t>
      </w:r>
      <w:r>
        <w:rPr>
          <w:color w:val="000000"/>
          <w:sz w:val="24"/>
          <w:szCs w:val="24"/>
        </w:rPr>
        <w:t xml:space="preserve"> година дейности по мярка 431.1.„Управление на местни инициативни групи, придобиване на умения и постигане на обществена активност на съответната територия за местните инициативни групи, прилагащи стратегии за местно развитие” и мониторинг по мярка 41. „Прилагане на стратегии за местно развитие”.</w:t>
      </w:r>
      <w:r>
        <w:rPr>
          <w:sz w:val="24"/>
          <w:szCs w:val="24"/>
        </w:rPr>
        <w:t xml:space="preserve"> </w:t>
      </w:r>
    </w:p>
    <w:p w:rsidR="00AB537E" w:rsidRDefault="00AB537E" w:rsidP="00A5281C">
      <w:pPr>
        <w:spacing w:before="182" w:line="360" w:lineRule="auto"/>
        <w:ind w:firstLine="6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</w:rPr>
        <w:t>През периода са успешно приключени 21 договора и съответно са получили субсидия от Държавен фонд „ Земеделие”.</w:t>
      </w:r>
    </w:p>
    <w:p w:rsidR="00AB537E" w:rsidRDefault="00AB537E" w:rsidP="00AB537E">
      <w:pPr>
        <w:shd w:val="clear" w:color="auto" w:fill="FFFFFF"/>
        <w:spacing w:before="182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През </w:t>
      </w:r>
      <w:r w:rsidR="00A5281C">
        <w:rPr>
          <w:sz w:val="24"/>
          <w:szCs w:val="24"/>
        </w:rPr>
        <w:t>2015г.</w:t>
      </w:r>
      <w:r>
        <w:rPr>
          <w:sz w:val="24"/>
          <w:szCs w:val="24"/>
        </w:rPr>
        <w:t xml:space="preserve"> в договора за финансиране на Местна инициативна група Кнежа не е заложен прием на заявления за подпомагане. </w:t>
      </w:r>
    </w:p>
    <w:p w:rsidR="00AB537E" w:rsidRDefault="00AB537E" w:rsidP="00AB537E">
      <w:pPr>
        <w:shd w:val="clear" w:color="auto" w:fill="FFFFFF"/>
        <w:spacing w:before="182" w:line="360" w:lineRule="auto"/>
        <w:ind w:left="360"/>
        <w:jc w:val="both"/>
        <w:rPr>
          <w:b/>
          <w:sz w:val="24"/>
          <w:szCs w:val="24"/>
        </w:rPr>
      </w:pPr>
    </w:p>
    <w:p w:rsidR="00AB537E" w:rsidRDefault="00AB537E" w:rsidP="00AB537E">
      <w:pPr>
        <w:shd w:val="clear" w:color="auto" w:fill="FFFFFF"/>
        <w:spacing w:before="182" w:line="360" w:lineRule="auto"/>
        <w:ind w:left="360"/>
        <w:jc w:val="both"/>
        <w:rPr>
          <w:b/>
          <w:sz w:val="24"/>
          <w:szCs w:val="24"/>
          <w:lang w:val="ru-RU"/>
        </w:rPr>
      </w:pPr>
    </w:p>
    <w:p w:rsidR="00AB537E" w:rsidRDefault="00AB537E" w:rsidP="00AB537E">
      <w:pPr>
        <w:shd w:val="clear" w:color="auto" w:fill="FFFFFF"/>
        <w:spacing w:before="331" w:line="360" w:lineRule="auto"/>
        <w:ind w:left="24"/>
      </w:pPr>
      <w:r>
        <w:rPr>
          <w:i/>
          <w:iCs/>
          <w:color w:val="000000"/>
          <w:sz w:val="22"/>
          <w:szCs w:val="22"/>
        </w:rPr>
        <w:lastRenderedPageBreak/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0"/>
        <w:gridCol w:w="1441"/>
        <w:gridCol w:w="1437"/>
        <w:gridCol w:w="1921"/>
      </w:tblGrid>
      <w:tr w:rsidR="00AB537E" w:rsidTr="00AB537E">
        <w:trPr>
          <w:trHeight w:hRule="exact" w:val="2155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Индикатор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Цел за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периода 2007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– 2013 според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Постигнато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за периода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на годишния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доклад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Постигнато за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периода от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началото на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прилагане на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стратегията,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включително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периода, обхванат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от годишния</w:t>
            </w:r>
          </w:p>
          <w:p w:rsidR="00AB537E" w:rsidRDefault="00AB537E">
            <w:pPr>
              <w:shd w:val="clear" w:color="auto" w:fill="FFFFFF"/>
              <w:spacing w:line="235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доклад</w:t>
            </w:r>
          </w:p>
        </w:tc>
      </w:tr>
      <w:tr w:rsidR="00AB537E" w:rsidTr="00AB537E">
        <w:trPr>
          <w:trHeight w:hRule="exact" w:val="576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  <w:ind w:right="7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 площ на територията, обхваната от МИГ (в км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317 812 км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AB537E" w:rsidTr="00AB537E">
        <w:trPr>
          <w:trHeight w:hRule="exact" w:val="580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59" w:lineRule="exact"/>
              <w:ind w:right="21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 брой на населението, обхванато от МИГ в СМР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15 181 </w:t>
            </w:r>
            <w:r>
              <w:rPr>
                <w:color w:val="000000"/>
                <w:sz w:val="24"/>
                <w:szCs w:val="24"/>
              </w:rPr>
              <w:t>жители (01.02.2011 г.)</w:t>
            </w:r>
          </w:p>
        </w:tc>
      </w:tr>
      <w:tr w:rsidR="00AB537E" w:rsidTr="00AB537E">
        <w:trPr>
          <w:trHeight w:hRule="exact" w:val="327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Брой проекти, финансирани от СМР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right="5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7E" w:rsidRDefault="00AB537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7E" w:rsidRDefault="00AB537E">
            <w:pPr>
              <w:shd w:val="clear" w:color="auto" w:fill="FFFFFF"/>
              <w:ind w:right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AB537E" w:rsidTr="00AB537E">
        <w:trPr>
          <w:trHeight w:hRule="exact" w:val="59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59" w:lineRule="exact"/>
              <w:ind w:right="45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Брой участници, успешно завършили обучение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sym w:font="Wingdings" w:char="00AF"/>
            </w:r>
            <w:r>
              <w:rPr>
                <w:color w:val="000000"/>
                <w:sz w:val="24"/>
                <w:szCs w:val="24"/>
              </w:rPr>
              <w:sym w:font="Wingdings" w:char="00AF"/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7E" w:rsidRPr="00D15851" w:rsidRDefault="00D1585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7E" w:rsidRPr="00D15851" w:rsidRDefault="00D15851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</w:tr>
    </w:tbl>
    <w:p w:rsidR="00AB537E" w:rsidRDefault="00AB537E" w:rsidP="00AB537E">
      <w:pPr>
        <w:shd w:val="clear" w:color="auto" w:fill="FFFFFF"/>
        <w:spacing w:before="182"/>
        <w:ind w:left="10" w:right="293" w:hanging="10"/>
        <w:jc w:val="both"/>
        <w:rPr>
          <w:i/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sym w:font="Wingdings" w:char="00AF"/>
      </w:r>
      <w:r>
        <w:rPr>
          <w:bCs/>
          <w:color w:val="000000"/>
          <w:sz w:val="24"/>
          <w:szCs w:val="24"/>
        </w:rPr>
        <w:sym w:font="Wingdings" w:char="00AF"/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В СМР на МИГ- Кнежа няма заложени индикатори.</w:t>
      </w:r>
    </w:p>
    <w:p w:rsidR="00AB537E" w:rsidRDefault="00AB537E" w:rsidP="00AB537E">
      <w:pPr>
        <w:shd w:val="clear" w:color="auto" w:fill="FFFFFF"/>
        <w:spacing w:before="182"/>
        <w:ind w:left="10" w:right="293" w:hanging="10"/>
        <w:jc w:val="both"/>
        <w:rPr>
          <w:i/>
          <w:color w:val="000000"/>
          <w:sz w:val="22"/>
          <w:szCs w:val="22"/>
        </w:rPr>
      </w:pPr>
    </w:p>
    <w:p w:rsidR="00AB537E" w:rsidRDefault="00AB537E" w:rsidP="00AB537E">
      <w:pPr>
        <w:shd w:val="clear" w:color="auto" w:fill="FFFFFF"/>
        <w:spacing w:before="182"/>
        <w:ind w:left="10" w:right="293" w:hanging="10"/>
        <w:jc w:val="both"/>
        <w:rPr>
          <w:i/>
          <w:color w:val="000000"/>
          <w:sz w:val="22"/>
          <w:szCs w:val="22"/>
        </w:rPr>
      </w:pPr>
    </w:p>
    <w:p w:rsidR="00AB537E" w:rsidRDefault="00AB537E" w:rsidP="00AB537E">
      <w:pPr>
        <w:numPr>
          <w:ilvl w:val="0"/>
          <w:numId w:val="5"/>
        </w:numPr>
        <w:shd w:val="clear" w:color="auto" w:fill="FFFFFF"/>
        <w:spacing w:before="451"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Управление на Местната инициативна група.</w:t>
      </w:r>
    </w:p>
    <w:p w:rsidR="00AB537E" w:rsidRDefault="00AB537E" w:rsidP="00AB537E">
      <w:pPr>
        <w:shd w:val="clear" w:color="auto" w:fill="FFFFFF"/>
        <w:spacing w:line="360" w:lineRule="auto"/>
        <w:rPr>
          <w:sz w:val="24"/>
          <w:szCs w:val="24"/>
        </w:rPr>
      </w:pPr>
    </w:p>
    <w:p w:rsidR="00AB537E" w:rsidRDefault="00AB537E" w:rsidP="00AB537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През периода Управителния съвет е заседавал в съответствие с Устава на Сдружението. Проведени са 5 заседания на Управителния съвет. Заседанията са редовни, проведени са с кворум и на тях са присъствали над 50% от членовете на Съвета.</w:t>
      </w:r>
    </w:p>
    <w:p w:rsidR="00D15851" w:rsidRDefault="00AB537E" w:rsidP="00AB537E">
      <w:pPr>
        <w:shd w:val="clear" w:color="auto" w:fill="FFFFFF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shd w:val="clear" w:color="auto" w:fill="FFFFFF"/>
        </w:rPr>
        <w:t>Съгласно Устава на МИГ- Кнежа ще се проведе заседание, през месец януари 2016г., на Контролния съвет, на което ще се извърши проверка на финансовото състояние н</w:t>
      </w:r>
      <w:r w:rsidR="009E3840">
        <w:rPr>
          <w:sz w:val="24"/>
          <w:szCs w:val="24"/>
          <w:shd w:val="clear" w:color="auto" w:fill="FFFFFF"/>
        </w:rPr>
        <w:t>а</w:t>
      </w:r>
    </w:p>
    <w:p w:rsidR="00A5281C" w:rsidRDefault="00AB537E" w:rsidP="00AB537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МИГ- Кнежа за 2015г.</w:t>
      </w:r>
      <w:r>
        <w:rPr>
          <w:sz w:val="24"/>
          <w:szCs w:val="24"/>
        </w:rPr>
        <w:t xml:space="preserve">  Съгласно Устава на МИГ- Кнежа ще се проведе и заседание на Общото събрание в началото на 2016г.</w:t>
      </w:r>
    </w:p>
    <w:p w:rsidR="00AB537E" w:rsidRDefault="00AB537E" w:rsidP="00AB537E">
      <w:pPr>
        <w:shd w:val="clear" w:color="auto" w:fill="FFFFFF"/>
        <w:tabs>
          <w:tab w:val="left" w:pos="398"/>
        </w:tabs>
        <w:spacing w:before="221" w:line="360" w:lineRule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4.1.</w:t>
      </w:r>
      <w:r>
        <w:rPr>
          <w:b/>
          <w:bCs/>
          <w:color w:val="000000"/>
          <w:sz w:val="24"/>
          <w:szCs w:val="24"/>
        </w:rPr>
        <w:tab/>
        <w:t xml:space="preserve">Промени в екипа, ангажиран с прилагането на стратегията </w:t>
      </w:r>
    </w:p>
    <w:p w:rsidR="00AB537E" w:rsidRDefault="00AB537E" w:rsidP="00AB537E">
      <w:pPr>
        <w:shd w:val="clear" w:color="auto" w:fill="FFFFFF"/>
        <w:tabs>
          <w:tab w:val="left" w:pos="398"/>
        </w:tabs>
        <w:spacing w:before="221" w:line="36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bCs/>
          <w:color w:val="000000"/>
          <w:sz w:val="24"/>
          <w:szCs w:val="24"/>
        </w:rPr>
        <w:t>Към дата 30 септември 2015г. екипът на МИГ- Кнежа бе освободен, съгласно договора за финансиране.</w:t>
      </w:r>
    </w:p>
    <w:p w:rsidR="00AB537E" w:rsidRDefault="00AB537E" w:rsidP="00AB537E">
      <w:pPr>
        <w:shd w:val="clear" w:color="auto" w:fill="FFFFFF"/>
        <w:spacing w:before="226"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4.2.Обучение на екипа, ангажиран в прилагането на СМР:</w:t>
      </w: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Проведено беше </w:t>
      </w:r>
      <w:r w:rsidR="007C4C7E">
        <w:rPr>
          <w:color w:val="000000"/>
          <w:sz w:val="24"/>
          <w:szCs w:val="24"/>
        </w:rPr>
        <w:t>двудневно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обучите</w:t>
      </w:r>
      <w:r w:rsidR="009566E9">
        <w:rPr>
          <w:b/>
          <w:bCs/>
          <w:color w:val="000000"/>
          <w:sz w:val="24"/>
          <w:szCs w:val="24"/>
        </w:rPr>
        <w:t xml:space="preserve">лно пътуване  за обмяна и опит </w:t>
      </w:r>
      <w:r>
        <w:rPr>
          <w:b/>
          <w:bCs/>
          <w:color w:val="000000"/>
          <w:sz w:val="24"/>
          <w:szCs w:val="24"/>
        </w:rPr>
        <w:t xml:space="preserve"> МИГ</w:t>
      </w:r>
      <w:r w:rsidR="009566E9">
        <w:rPr>
          <w:b/>
          <w:bCs/>
          <w:color w:val="000000"/>
          <w:sz w:val="24"/>
          <w:szCs w:val="24"/>
        </w:rPr>
        <w:t xml:space="preserve">   Ябланица</w:t>
      </w:r>
      <w:r w:rsidR="00B5187D">
        <w:rPr>
          <w:b/>
          <w:bCs/>
          <w:color w:val="000000"/>
          <w:sz w:val="24"/>
          <w:szCs w:val="24"/>
        </w:rPr>
        <w:t xml:space="preserve"> </w:t>
      </w:r>
      <w:r w:rsidR="009566E9">
        <w:rPr>
          <w:b/>
          <w:bCs/>
          <w:color w:val="000000"/>
          <w:sz w:val="24"/>
          <w:szCs w:val="24"/>
        </w:rPr>
        <w:t>– Правец</w:t>
      </w:r>
      <w:r>
        <w:rPr>
          <w:color w:val="000000"/>
          <w:sz w:val="24"/>
          <w:szCs w:val="24"/>
        </w:rPr>
        <w:t>,</w:t>
      </w:r>
      <w:r w:rsidR="009566E9">
        <w:rPr>
          <w:sz w:val="24"/>
          <w:szCs w:val="24"/>
        </w:rPr>
        <w:t xml:space="preserve">на </w:t>
      </w:r>
      <w:r w:rsidR="000B0863">
        <w:rPr>
          <w:sz w:val="24"/>
          <w:szCs w:val="24"/>
        </w:rPr>
        <w:t>28-29.05. 2015г. за опит и добри практики.</w:t>
      </w:r>
      <w:r>
        <w:rPr>
          <w:sz w:val="24"/>
          <w:szCs w:val="24"/>
        </w:rPr>
        <w:t xml:space="preserve">  </w:t>
      </w:r>
      <w:r w:rsidR="00857C37">
        <w:rPr>
          <w:sz w:val="24"/>
          <w:szCs w:val="24"/>
        </w:rPr>
        <w:t xml:space="preserve">МИГ- Кнежа се запознаха с функционирането </w:t>
      </w:r>
      <w:r w:rsidR="00BE6A8C">
        <w:rPr>
          <w:sz w:val="24"/>
          <w:szCs w:val="24"/>
        </w:rPr>
        <w:t xml:space="preserve">на МИГ Ябланица- Правец, нейната стратегия, заложени приоритети и цели, финансираните проекти, както и необходимостта от </w:t>
      </w:r>
      <w:r w:rsidR="00BE6A8C">
        <w:rPr>
          <w:sz w:val="24"/>
          <w:szCs w:val="24"/>
        </w:rPr>
        <w:lastRenderedPageBreak/>
        <w:t xml:space="preserve">организационни промени, предвид новото законодателство за програмен период 2014- 2020г. </w:t>
      </w:r>
      <w:r w:rsidR="004B64CA">
        <w:rPr>
          <w:sz w:val="24"/>
          <w:szCs w:val="24"/>
        </w:rPr>
        <w:t xml:space="preserve">Бяха обсъдени и новите моменти от ПРСР , </w:t>
      </w:r>
      <w:proofErr w:type="spellStart"/>
      <w:r w:rsidR="004B64CA">
        <w:rPr>
          <w:sz w:val="24"/>
          <w:szCs w:val="24"/>
        </w:rPr>
        <w:t>проекто</w:t>
      </w:r>
      <w:proofErr w:type="spellEnd"/>
      <w:r w:rsidR="004B64CA">
        <w:rPr>
          <w:sz w:val="24"/>
          <w:szCs w:val="24"/>
        </w:rPr>
        <w:t>- наредбите по новите мерки, касаещи бъдещата дейност на групите пред новия програмен период и необходимостта от промяна в организационната структура</w:t>
      </w:r>
      <w:r w:rsidR="00094B8F">
        <w:rPr>
          <w:sz w:val="24"/>
          <w:szCs w:val="24"/>
        </w:rPr>
        <w:t>, териториалния обхват, предвид критериите за оценка за одобрение на групите.</w:t>
      </w:r>
      <w:r w:rsidR="004B64CA">
        <w:rPr>
          <w:sz w:val="24"/>
          <w:szCs w:val="24"/>
        </w:rPr>
        <w:t xml:space="preserve"> </w:t>
      </w:r>
      <w:r w:rsidR="00BE6A8C">
        <w:rPr>
          <w:sz w:val="24"/>
          <w:szCs w:val="24"/>
        </w:rPr>
        <w:t>По време на двудневното обучение за обмяна на опит и добри практики</w:t>
      </w:r>
      <w:r w:rsidR="00DE558C">
        <w:rPr>
          <w:sz w:val="24"/>
          <w:szCs w:val="24"/>
        </w:rPr>
        <w:t xml:space="preserve"> се </w:t>
      </w:r>
      <w:r w:rsidR="00BE6A8C">
        <w:rPr>
          <w:sz w:val="24"/>
          <w:szCs w:val="24"/>
        </w:rPr>
        <w:t>посе</w:t>
      </w:r>
      <w:r w:rsidR="00DE558C">
        <w:rPr>
          <w:sz w:val="24"/>
          <w:szCs w:val="24"/>
        </w:rPr>
        <w:t xml:space="preserve">тиха и обекти, финансирани с проекти по СМР. </w:t>
      </w:r>
    </w:p>
    <w:p w:rsidR="00094B8F" w:rsidRDefault="00094B8F" w:rsidP="00094B8F">
      <w:pPr>
        <w:shd w:val="clear" w:color="auto" w:fill="FFFFFF"/>
        <w:spacing w:before="211" w:line="360" w:lineRule="auto"/>
        <w:ind w:right="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Във връзка с изпълнение на Договор от 18.02.2015г. за обучение е организирано и проведено еднодневно обучение, на тема: </w:t>
      </w:r>
    </w:p>
    <w:p w:rsidR="00094B8F" w:rsidRDefault="00094B8F" w:rsidP="00094B8F">
      <w:pPr>
        <w:shd w:val="clear" w:color="auto" w:fill="FFFFFF"/>
        <w:spacing w:before="211" w:line="360" w:lineRule="auto"/>
        <w:ind w:right="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 Най- често допускани грешки и нарушения при обществените поръчки”- 29.04.2015г.</w:t>
      </w:r>
    </w:p>
    <w:p w:rsidR="00D15851" w:rsidRPr="00336766" w:rsidRDefault="00094B8F" w:rsidP="00094B8F">
      <w:pPr>
        <w:shd w:val="clear" w:color="auto" w:fill="FFFFFF"/>
        <w:spacing w:before="211" w:line="360" w:lineRule="auto"/>
        <w:ind w:right="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Обучението е предназначено за екип на МИГ- Кнежа и членовете на УС на СНЦ МИГ- Кнежа с цел повишаване квалификацията и професионализма им и усъвършенстване знанията и уменията при подготовка на тръжни процедури по ЗОП. Резултатите ще допринесат за повишаване на ефективността на работата и потенциала на СНЦ, както и избягване на грешки при организиране на процедури по ЗОП.</w:t>
      </w:r>
    </w:p>
    <w:p w:rsidR="00AB537E" w:rsidRDefault="00AB537E" w:rsidP="00AB537E">
      <w:pPr>
        <w:numPr>
          <w:ilvl w:val="0"/>
          <w:numId w:val="5"/>
        </w:numPr>
        <w:shd w:val="clear" w:color="auto" w:fill="FFFFFF"/>
        <w:spacing w:line="360" w:lineRule="auto"/>
        <w:ind w:right="293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Индикатори.</w:t>
      </w:r>
    </w:p>
    <w:p w:rsidR="00AB537E" w:rsidRDefault="00AB537E" w:rsidP="00AB537E">
      <w:pPr>
        <w:shd w:val="clear" w:color="auto" w:fill="FFFFFF"/>
        <w:spacing w:before="226" w:line="360" w:lineRule="auto"/>
        <w:ind w:left="10"/>
      </w:pPr>
      <w:r>
        <w:rPr>
          <w:color w:val="000000"/>
          <w:sz w:val="22"/>
          <w:szCs w:val="22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8"/>
        <w:gridCol w:w="2808"/>
        <w:gridCol w:w="1522"/>
        <w:gridCol w:w="1522"/>
        <w:gridCol w:w="1882"/>
      </w:tblGrid>
      <w:tr w:rsidR="00AB537E" w:rsidTr="00AB537E">
        <w:trPr>
          <w:trHeight w:hRule="exact" w:val="2731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360" w:lineRule="auto"/>
              <w:ind w:left="24" w:right="19"/>
            </w:pPr>
            <w:r>
              <w:rPr>
                <w:b/>
                <w:bCs/>
                <w:color w:val="000000"/>
                <w:sz w:val="22"/>
                <w:szCs w:val="22"/>
              </w:rPr>
              <w:t>Вид индикатор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Индикатор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360" w:lineRule="auto"/>
              <w:ind w:left="29"/>
            </w:pPr>
            <w:r>
              <w:rPr>
                <w:b/>
                <w:bCs/>
                <w:color w:val="000000"/>
                <w:sz w:val="22"/>
                <w:szCs w:val="22"/>
              </w:rPr>
              <w:t>Цел до края</w:t>
            </w:r>
          </w:p>
          <w:p w:rsidR="00AB537E" w:rsidRDefault="00AB537E">
            <w:pPr>
              <w:shd w:val="clear" w:color="auto" w:fill="FFFFFF"/>
              <w:spacing w:line="360" w:lineRule="auto"/>
              <w:ind w:left="29" w:right="24"/>
            </w:pPr>
            <w:r>
              <w:rPr>
                <w:b/>
                <w:bCs/>
                <w:color w:val="000000"/>
                <w:sz w:val="22"/>
                <w:szCs w:val="22"/>
              </w:rPr>
              <w:t>на стратегията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Постигнато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 периода,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обхванат от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доклада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Постигнато за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периода от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началото на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прилагане на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стратегията,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включително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периода,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обхванат от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годишния</w:t>
            </w:r>
          </w:p>
          <w:p w:rsidR="00AB537E" w:rsidRDefault="00AB537E">
            <w:pPr>
              <w:shd w:val="clear" w:color="auto" w:fill="FFFFFF"/>
              <w:spacing w:line="36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доклад</w:t>
            </w:r>
          </w:p>
        </w:tc>
      </w:tr>
      <w:tr w:rsidR="00AB537E" w:rsidTr="00AB537E">
        <w:trPr>
          <w:trHeight w:hRule="exact" w:val="792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Изходен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Брой консултирани</w:t>
            </w:r>
          </w:p>
          <w:p w:rsidR="00AB537E" w:rsidRDefault="00AB537E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потенциални</w:t>
            </w:r>
          </w:p>
          <w:p w:rsidR="00AB537E" w:rsidRDefault="00AB537E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бенефициенти</w:t>
            </w:r>
            <w:r>
              <w:rPr>
                <w:color w:val="000000"/>
                <w:sz w:val="22"/>
                <w:szCs w:val="22"/>
              </w:rPr>
              <w:sym w:font="Wingdings" w:char="00AF"/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A028E7" w:rsidRDefault="00A028E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A028E7" w:rsidRDefault="00A028E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223</w:t>
            </w:r>
          </w:p>
        </w:tc>
      </w:tr>
      <w:tr w:rsidR="00AB537E" w:rsidTr="00E3471D">
        <w:trPr>
          <w:trHeight w:hRule="exact" w:val="1306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/>
          <w:p w:rsidR="00AB537E" w:rsidRDefault="00AB537E">
            <w:pPr>
              <w:shd w:val="clear" w:color="auto" w:fill="FFFFFF"/>
              <w:spacing w:line="259" w:lineRule="exact"/>
              <w:ind w:right="139"/>
            </w:pPr>
            <w:r>
              <w:rPr>
                <w:color w:val="000000"/>
                <w:sz w:val="22"/>
                <w:szCs w:val="22"/>
              </w:rPr>
              <w:t>Брой на участниците в дейностите за придобиване на умения и постигане на обществена активност</w:t>
            </w:r>
            <w:r>
              <w:rPr>
                <w:color w:val="000000"/>
                <w:sz w:val="22"/>
                <w:szCs w:val="22"/>
              </w:rPr>
              <w:sym w:font="Wingdings" w:char="00AF"/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37E" w:rsidRDefault="009401B8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37E" w:rsidRPr="00E3471D" w:rsidRDefault="00E347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</w:p>
        </w:tc>
      </w:tr>
      <w:tr w:rsidR="00AB537E" w:rsidTr="00AB537E">
        <w:trPr>
          <w:trHeight w:hRule="exact" w:val="798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/>
          <w:p w:rsidR="00AB537E" w:rsidRDefault="00AB537E">
            <w:pPr>
              <w:shd w:val="clear" w:color="auto" w:fill="FFFFFF"/>
              <w:spacing w:line="259" w:lineRule="exact"/>
              <w:ind w:right="19"/>
            </w:pPr>
            <w:r>
              <w:rPr>
                <w:color w:val="000000"/>
                <w:sz w:val="22"/>
                <w:szCs w:val="22"/>
              </w:rPr>
              <w:t>Брой подадени заявления за кандидатстване по СМР</w:t>
            </w:r>
            <w:r>
              <w:rPr>
                <w:color w:val="000000"/>
                <w:sz w:val="22"/>
                <w:szCs w:val="22"/>
              </w:rPr>
              <w:sym w:font="Wingdings" w:char="00AF"/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AB537E" w:rsidTr="00AB537E">
        <w:trPr>
          <w:trHeight w:hRule="exact" w:val="1076"/>
        </w:trPr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/>
          <w:p w:rsidR="00AB537E" w:rsidRDefault="00AB537E">
            <w:pPr>
              <w:shd w:val="clear" w:color="auto" w:fill="FFFFFF"/>
              <w:spacing w:line="259" w:lineRule="exact"/>
              <w:ind w:right="782"/>
            </w:pPr>
            <w:r>
              <w:rPr>
                <w:color w:val="000000"/>
                <w:sz w:val="22"/>
                <w:szCs w:val="22"/>
              </w:rPr>
              <w:t>Дял на одобрените заявления за кандидатстване, %</w:t>
            </w:r>
            <w:r>
              <w:rPr>
                <w:color w:val="000000"/>
                <w:sz w:val="22"/>
                <w:szCs w:val="22"/>
              </w:rPr>
              <w:sym w:font="Wingdings" w:char="00AF"/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</w:p>
        </w:tc>
      </w:tr>
    </w:tbl>
    <w:p w:rsidR="00AB537E" w:rsidRDefault="00AB537E" w:rsidP="009E3840">
      <w:pPr>
        <w:shd w:val="clear" w:color="auto" w:fill="FFFFFF"/>
        <w:spacing w:before="182"/>
        <w:ind w:left="10" w:right="293" w:firstLine="667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" w:char="00AF"/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В СМР на МИГ- Кнежа няма заложени индикатори.</w:t>
      </w:r>
    </w:p>
    <w:p w:rsidR="00AB537E" w:rsidRDefault="00AB537E" w:rsidP="00AB537E">
      <w:pPr>
        <w:shd w:val="clear" w:color="auto" w:fill="FFFFFF"/>
        <w:spacing w:before="182"/>
        <w:ind w:left="10" w:right="293" w:firstLine="667"/>
        <w:jc w:val="both"/>
        <w:rPr>
          <w:color w:val="000000"/>
          <w:sz w:val="22"/>
          <w:szCs w:val="22"/>
        </w:rPr>
      </w:pPr>
    </w:p>
    <w:p w:rsidR="00AB537E" w:rsidRDefault="00AB537E" w:rsidP="00AB537E">
      <w:pPr>
        <w:shd w:val="clear" w:color="auto" w:fill="FFFFFF"/>
      </w:pPr>
      <w:r>
        <w:rPr>
          <w:i/>
          <w:iCs/>
          <w:color w:val="000000"/>
          <w:sz w:val="22"/>
          <w:szCs w:val="22"/>
          <w:u w:val="single"/>
        </w:rPr>
        <w:t xml:space="preserve">Таблица 2а </w:t>
      </w:r>
      <w:r>
        <w:rPr>
          <w:b/>
          <w:bCs/>
          <w:color w:val="000000"/>
          <w:sz w:val="22"/>
          <w:szCs w:val="22"/>
          <w:u w:val="single"/>
        </w:rPr>
        <w:t>– с</w:t>
      </w:r>
      <w:r>
        <w:rPr>
          <w:b/>
          <w:bCs/>
          <w:color w:val="000000"/>
          <w:sz w:val="22"/>
          <w:szCs w:val="22"/>
        </w:rPr>
        <w:t>п</w:t>
      </w:r>
      <w:r>
        <w:rPr>
          <w:b/>
          <w:bCs/>
          <w:color w:val="000000"/>
          <w:sz w:val="22"/>
          <w:szCs w:val="22"/>
          <w:u w:val="single"/>
        </w:rPr>
        <w:t>ецифични индикатори от СМР на МИГ КНЕЖА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693"/>
        <w:gridCol w:w="1134"/>
        <w:gridCol w:w="1559"/>
        <w:gridCol w:w="2433"/>
      </w:tblGrid>
      <w:tr w:rsidR="00AB537E" w:rsidTr="00AB537E"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ИНДИКАТОРИ ПО ОТНОШЕНИЕ НА ЦЯЛОСТНОТО ПРИЛАГАНЕ НА СМР</w:t>
            </w:r>
          </w:p>
        </w:tc>
      </w:tr>
      <w:tr w:rsidR="00AB537E" w:rsidTr="00AB537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индикатор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AB537E" w:rsidRDefault="00AB53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AB537E" w:rsidRDefault="00AB53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Мерна 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AB537E" w:rsidRDefault="00AB53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 до края на стратегията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hd w:val="clear" w:color="auto" w:fill="FFFFFF"/>
              <w:spacing w:line="259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B537E" w:rsidRDefault="00AB537E">
            <w:pPr>
              <w:shd w:val="clear" w:color="auto" w:fill="FFFFFF"/>
              <w:spacing w:line="259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Постигнато</w:t>
            </w:r>
          </w:p>
          <w:p w:rsidR="00AB537E" w:rsidRDefault="00AB537E">
            <w:pPr>
              <w:shd w:val="clear" w:color="auto" w:fill="FFFFFF"/>
              <w:spacing w:line="259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 периода,</w:t>
            </w:r>
          </w:p>
          <w:p w:rsidR="00AB537E" w:rsidRDefault="00AB537E">
            <w:pPr>
              <w:shd w:val="clear" w:color="auto" w:fill="FFFFFF"/>
              <w:spacing w:line="259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обхванат от</w:t>
            </w:r>
          </w:p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доклада</w:t>
            </w:r>
          </w:p>
        </w:tc>
      </w:tr>
      <w:tr w:rsidR="00AB537E" w:rsidTr="00AB537E">
        <w:trPr>
          <w:trHeight w:val="3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Изходен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проекти, финансирани по СМР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бенефициенти, подпомогнати по СМР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151F2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 стойност на  инвестициите (публичен </w:t>
            </w:r>
            <w:proofErr w:type="spellStart"/>
            <w:r>
              <w:rPr>
                <w:sz w:val="24"/>
                <w:szCs w:val="24"/>
              </w:rPr>
              <w:t>принос+съфинансиране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Хил.</w:t>
            </w:r>
            <w:proofErr w:type="spellStart"/>
            <w:r>
              <w:rPr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</w:t>
            </w:r>
          </w:p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Стойност на инвестициите в животновъдния сектор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Хил.</w:t>
            </w:r>
            <w:proofErr w:type="spellStart"/>
            <w:r>
              <w:rPr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AB537E" w:rsidTr="00AB537E">
        <w:trPr>
          <w:trHeight w:val="110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Стойност на инвестициите в сферата на биологично земеделие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Хил.</w:t>
            </w:r>
            <w:proofErr w:type="spellStart"/>
            <w:r>
              <w:rPr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Дял на инвестициите, свързани с опазване на околната среда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Дял на инвестициите, свързани с постигане на съответствие със стандарти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Подкрепени проекти за интегриран туризъм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Подкрепени новосъздадени </w:t>
            </w:r>
            <w:proofErr w:type="spellStart"/>
            <w:r>
              <w:rPr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проекти на частни бенефициенти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проекти на публични бенефициенти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B537E" w:rsidTr="00AB537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стопанства въвели нов продукт или техника/технология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537E" w:rsidTr="00AB537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Модернизирани земеделски стопанства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537E" w:rsidTr="00AB537E">
        <w:trPr>
          <w:trHeight w:val="63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Създадени работни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B537E" w:rsidTr="00AB537E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от територията, което се ползва от подобрени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15326</w:t>
            </w:r>
          </w:p>
          <w:p w:rsidR="00AB537E" w:rsidRDefault="00AB537E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B537E" w:rsidRDefault="00AB537E" w:rsidP="00AB537E">
      <w:pPr>
        <w:widowControl/>
        <w:autoSpaceDE/>
        <w:autoSpaceDN/>
        <w:adjustRightInd/>
        <w:rPr>
          <w:b/>
          <w:bCs/>
          <w:color w:val="000000"/>
          <w:sz w:val="22"/>
          <w:szCs w:val="22"/>
        </w:rPr>
        <w:sectPr w:rsidR="00AB537E">
          <w:pgSz w:w="11906" w:h="16838"/>
          <w:pgMar w:top="720" w:right="1418" w:bottom="1418" w:left="1418" w:header="709" w:footer="709" w:gutter="0"/>
          <w:cols w:space="708"/>
        </w:sectPr>
      </w:pPr>
    </w:p>
    <w:p w:rsidR="00AB537E" w:rsidRDefault="00AB537E" w:rsidP="00AB537E">
      <w:pPr>
        <w:rPr>
          <w:i/>
        </w:rPr>
      </w:pPr>
      <w:r>
        <w:rPr>
          <w:i/>
        </w:rPr>
        <w:lastRenderedPageBreak/>
        <w:t>Таблица 3</w:t>
      </w:r>
    </w:p>
    <w:p w:rsidR="00AB537E" w:rsidRDefault="00AB537E" w:rsidP="00AB537E">
      <w:pPr>
        <w:rPr>
          <w:i/>
        </w:rPr>
      </w:pPr>
      <w:r>
        <w:rPr>
          <w:i/>
        </w:rPr>
        <w:t>41_2/41_3</w:t>
      </w:r>
    </w:p>
    <w:p w:rsidR="00AB537E" w:rsidRDefault="00AB537E" w:rsidP="00AB537E">
      <w:pPr>
        <w:rPr>
          <w:i/>
        </w:rPr>
      </w:pPr>
      <w:r>
        <w:rPr>
          <w:i/>
        </w:rPr>
        <w:t>Попълва се за одобрени заявления за подпомагане със сключени договори от началото на прилагане на стратегията</w:t>
      </w:r>
    </w:p>
    <w:tbl>
      <w:tblPr>
        <w:tblW w:w="1495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779"/>
        <w:gridCol w:w="1406"/>
        <w:gridCol w:w="695"/>
        <w:gridCol w:w="363"/>
        <w:gridCol w:w="537"/>
        <w:gridCol w:w="540"/>
        <w:gridCol w:w="363"/>
        <w:gridCol w:w="537"/>
        <w:gridCol w:w="1481"/>
        <w:gridCol w:w="1593"/>
        <w:gridCol w:w="1966"/>
        <w:gridCol w:w="1260"/>
        <w:gridCol w:w="1440"/>
        <w:gridCol w:w="1260"/>
      </w:tblGrid>
      <w:tr w:rsidR="00AB537E" w:rsidTr="00107C09">
        <w:trPr>
          <w:trHeight w:val="31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ОС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Мярка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Брой на финансирани проекти от МИГ</w:t>
            </w:r>
          </w:p>
        </w:tc>
        <w:tc>
          <w:tcPr>
            <w:tcW w:w="9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Брой бенефициенти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Публични разходи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(субсидия),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лева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6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Частен сектор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Публичен сектор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ЕЗФРСР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</w:tr>
      <w:tr w:rsidR="00AB537E" w:rsidTr="00107C09">
        <w:trPr>
          <w:trHeight w:val="3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Физически лица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Юридически лица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Мъже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Жени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&lt; 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&gt;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&lt; 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&gt;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 xml:space="preserve"> 25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Ос 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206568.69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258210.86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78201.20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97751.50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284769.89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355962.36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Ос 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Ос 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213705.52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267131.90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138771.84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173464.80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5E054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852384.416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2D51DC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1065480.52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4155A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441495.52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C649D3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551869.4</w:t>
            </w: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107C09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Pr="0094155A" w:rsidRDefault="0094155A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1646357.296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Pr="005E0541" w:rsidRDefault="005E054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2057946.62</w:t>
            </w:r>
          </w:p>
        </w:tc>
      </w:tr>
    </w:tbl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  <w:r>
        <w:rPr>
          <w:i/>
        </w:rPr>
        <w:lastRenderedPageBreak/>
        <w:t>Таблица 3а</w:t>
      </w:r>
    </w:p>
    <w:p w:rsidR="00AB537E" w:rsidRDefault="00AB537E" w:rsidP="00AB537E">
      <w:pPr>
        <w:rPr>
          <w:i/>
          <w:lang w:val="en-US"/>
        </w:rPr>
      </w:pPr>
      <w:r>
        <w:rPr>
          <w:i/>
        </w:rPr>
        <w:t>Попълва се за  изплатени проекти</w:t>
      </w:r>
    </w:p>
    <w:p w:rsidR="00AB537E" w:rsidRDefault="00AB537E" w:rsidP="00AB537E">
      <w:pPr>
        <w:rPr>
          <w:i/>
        </w:rPr>
      </w:pPr>
    </w:p>
    <w:tbl>
      <w:tblPr>
        <w:tblW w:w="1495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"/>
        <w:gridCol w:w="747"/>
        <w:gridCol w:w="1446"/>
        <w:gridCol w:w="715"/>
        <w:gridCol w:w="373"/>
        <w:gridCol w:w="552"/>
        <w:gridCol w:w="555"/>
        <w:gridCol w:w="373"/>
        <w:gridCol w:w="552"/>
        <w:gridCol w:w="1523"/>
        <w:gridCol w:w="1638"/>
        <w:gridCol w:w="2022"/>
        <w:gridCol w:w="1441"/>
        <w:gridCol w:w="1308"/>
        <w:gridCol w:w="1197"/>
      </w:tblGrid>
      <w:tr w:rsidR="00AB537E" w:rsidTr="00D14F81">
        <w:trPr>
          <w:trHeight w:val="31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ОС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Мярка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Брой на финансирани проекти от МИГ</w:t>
            </w: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Брой бенефициенти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Публични разходи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(субсидия),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лева</w:t>
            </w: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6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Частен сектор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Публичен сектор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ЕЗФРСР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</w:tr>
      <w:tr w:rsidR="00AB537E" w:rsidTr="00D14F8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Физически лица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Юридически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Мъже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Жени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&lt; 25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&gt;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&lt; 25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&gt;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 xml:space="preserve"> 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AB537E" w:rsidTr="00D14F81">
        <w:trPr>
          <w:trHeight w:val="31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Ос 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206568.688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258210.86</w:t>
            </w: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C001BD" w:rsidRDefault="00C001BD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78201.20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F651CE" w:rsidRDefault="00F651C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t>97 751</w:t>
            </w:r>
            <w:r>
              <w:rPr>
                <w:lang w:val="en-US"/>
              </w:rPr>
              <w:t>.</w:t>
            </w:r>
            <w:r>
              <w:t xml:space="preserve">50 </w:t>
            </w: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Pr="00C001BD" w:rsidRDefault="00C001BD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284769.888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Pr="00970B97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355962.36</w:t>
            </w:r>
          </w:p>
        </w:tc>
      </w:tr>
      <w:tr w:rsidR="00AB537E" w:rsidTr="00D14F81">
        <w:trPr>
          <w:trHeight w:val="31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Ос 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Ос 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895B3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8145D2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169605.52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t>212 006,90</w:t>
            </w: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right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312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8145D2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138771.84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970B97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t>173 464,80</w:t>
            </w: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000482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D14F81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D14F81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D14F81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8C5525" w:rsidRDefault="008C5525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844898.208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8D644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1 056 122,76</w:t>
            </w: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000482">
            <w:pPr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D14F81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D14F81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D14F81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8C5525" w:rsidRDefault="008C5525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438305.056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8D644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t>547 881,32</w:t>
            </w: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D14F8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D14F81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</w:t>
            </w:r>
            <w:r w:rsidR="00895B37">
              <w:rPr>
                <w:rFonts w:ascii="Arial Unicode MS" w:eastAsia="Arial Unicode MS" w:hAnsi="Arial Unicode MS" w:cs="Arial Unicode MS"/>
                <w:lang w:val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B54A4B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1591580.624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B537E" w:rsidRDefault="008D6445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1989475.78</w:t>
            </w:r>
          </w:p>
        </w:tc>
      </w:tr>
    </w:tbl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  <w:r>
        <w:rPr>
          <w:i/>
        </w:rPr>
        <w:lastRenderedPageBreak/>
        <w:t>Таблица 4</w:t>
      </w:r>
    </w:p>
    <w:p w:rsidR="00AB537E" w:rsidRDefault="00AB537E" w:rsidP="00AB537E">
      <w:pPr>
        <w:rPr>
          <w:i/>
          <w:lang w:val="en-US"/>
        </w:rPr>
      </w:pPr>
      <w:r>
        <w:rPr>
          <w:i/>
        </w:rPr>
        <w:t>За мярка 41 и 431-1(</w:t>
      </w:r>
      <w:r>
        <w:rPr>
          <w:i/>
          <w:lang w:val="en-US"/>
        </w:rPr>
        <w:t>R12)</w:t>
      </w:r>
    </w:p>
    <w:p w:rsidR="00AB537E" w:rsidRDefault="00AB537E" w:rsidP="00AB537E">
      <w:pPr>
        <w:rPr>
          <w:i/>
        </w:rPr>
      </w:pPr>
    </w:p>
    <w:tbl>
      <w:tblPr>
        <w:tblW w:w="115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875"/>
        <w:gridCol w:w="960"/>
        <w:gridCol w:w="960"/>
        <w:gridCol w:w="960"/>
        <w:gridCol w:w="960"/>
        <w:gridCol w:w="960"/>
        <w:gridCol w:w="960"/>
        <w:gridCol w:w="960"/>
      </w:tblGrid>
      <w:tr w:rsidR="00AB537E" w:rsidTr="00AB537E">
        <w:trPr>
          <w:trHeight w:val="900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Дейности/Мерки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Брой на участниците, които успешно са приключили обучението</w:t>
            </w:r>
          </w:p>
        </w:tc>
      </w:tr>
      <w:tr w:rsidR="00AB537E" w:rsidTr="00AB537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Мъже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Жени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</w:tr>
      <w:tr w:rsidR="00AB537E" w:rsidTr="00AB537E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&lt; 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&gt;25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&lt; 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&gt;25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 </w:t>
            </w:r>
          </w:p>
        </w:tc>
      </w:tr>
      <w:tr w:rsidR="00AB537E" w:rsidTr="00AB537E">
        <w:trPr>
          <w:trHeight w:val="6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bCs/>
                <w:iCs/>
              </w:rPr>
            </w:pPr>
            <w:r>
              <w:rPr>
                <w:rFonts w:eastAsia="Arial Unicode MS"/>
              </w:rPr>
              <w:t>І</w:t>
            </w:r>
            <w:r>
              <w:rPr>
                <w:rFonts w:eastAsia="Arial Unicode MS"/>
                <w:lang w:val="ru-RU"/>
              </w:rPr>
              <w:t xml:space="preserve">. </w:t>
            </w:r>
            <w:r>
              <w:rPr>
                <w:rFonts w:eastAsia="Arial Unicode MS"/>
              </w:rPr>
              <w:t>За мярка 41 „Прилагане на стратегии за местно развитие”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AB537E" w:rsidTr="00AB537E">
        <w:trPr>
          <w:trHeight w:val="79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Обучение и информация за икономически субекти, действащи в областта на ос 3</w:t>
            </w:r>
          </w:p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AB537E" w:rsidTr="00AB537E">
        <w:trPr>
          <w:trHeight w:val="90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lang w:val="ru-RU"/>
              </w:rPr>
            </w:pPr>
            <w:r>
              <w:t>Придобиване на умения и постигане на обществена активност</w:t>
            </w:r>
          </w:p>
          <w:p w:rsidR="00AB537E" w:rsidRDefault="00AB537E">
            <w:pPr>
              <w:rPr>
                <w:rFonts w:ascii="Arial Unicode MS" w:eastAsia="Arial Unicode MS" w:hAnsi="Arial Unicode MS" w:cs="Arial Unicode MS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AB537E" w:rsidTr="00AB537E">
        <w:trPr>
          <w:trHeight w:val="59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 xml:space="preserve"> Общо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AB537E" w:rsidTr="00AB537E">
        <w:trPr>
          <w:trHeight w:val="5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r>
              <w:rPr>
                <w:rFonts w:eastAsia="Arial Unicode MS"/>
              </w:rPr>
              <w:t>ІІ. За мярка 431-1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537E" w:rsidRDefault="00AB537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537E" w:rsidRDefault="00AB537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537E" w:rsidRDefault="00AB537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537E" w:rsidRDefault="00AB537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537E" w:rsidRDefault="00AB537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537E" w:rsidRDefault="00AB537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B537E" w:rsidRDefault="00AB537E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AB537E" w:rsidTr="00AB537E">
        <w:trPr>
          <w:trHeight w:val="90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Обучение и информация за икономически актьори действащи в областта на ос 3</w:t>
            </w:r>
          </w:p>
          <w:p w:rsidR="00AB537E" w:rsidRDefault="00AB537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AB537E" w:rsidTr="00AB537E">
        <w:trPr>
          <w:trHeight w:val="90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  <w:lang w:val="ru-RU"/>
              </w:rPr>
            </w:pPr>
            <w:r>
              <w:t>Придобиване на умения и постигане на обществена активност</w:t>
            </w:r>
          </w:p>
          <w:p w:rsidR="00AB537E" w:rsidRDefault="00AB537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7E4167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7E4167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7E4167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E3471D" w:rsidRDefault="00E3471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91</w:t>
            </w:r>
          </w:p>
        </w:tc>
      </w:tr>
      <w:tr w:rsidR="00AB537E" w:rsidTr="00AB537E">
        <w:trPr>
          <w:trHeight w:val="51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Pr="007E4167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Pr="007E4167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Pr="00E3471D" w:rsidRDefault="00E3471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91</w:t>
            </w:r>
          </w:p>
        </w:tc>
      </w:tr>
      <w:tr w:rsidR="00AB537E" w:rsidTr="00AB537E">
        <w:trPr>
          <w:trHeight w:val="50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 І+ІІ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Pr="007E4167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537E" w:rsidRDefault="00AB537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Pr="007E4167" w:rsidRDefault="007E416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AB537E" w:rsidRPr="00E3471D" w:rsidRDefault="00E3471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91</w:t>
            </w:r>
          </w:p>
        </w:tc>
      </w:tr>
    </w:tbl>
    <w:p w:rsidR="00AB537E" w:rsidRDefault="00AB537E" w:rsidP="00AB537E">
      <w:pPr>
        <w:widowControl/>
        <w:autoSpaceDE/>
        <w:autoSpaceDN/>
        <w:adjustRightInd/>
        <w:rPr>
          <w:i/>
        </w:rPr>
        <w:sectPr w:rsidR="00AB537E">
          <w:pgSz w:w="16838" w:h="11906" w:orient="landscape"/>
          <w:pgMar w:top="899" w:right="720" w:bottom="1418" w:left="1418" w:header="709" w:footer="709" w:gutter="0"/>
          <w:cols w:space="708"/>
        </w:sectPr>
      </w:pPr>
    </w:p>
    <w:p w:rsidR="00AB537E" w:rsidRDefault="00AB537E" w:rsidP="00AB537E">
      <w:pPr>
        <w:rPr>
          <w:i/>
        </w:rPr>
      </w:pPr>
      <w:r>
        <w:rPr>
          <w:i/>
        </w:rPr>
        <w:lastRenderedPageBreak/>
        <w:t>Таблица 5</w:t>
      </w: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  <w:r>
        <w:rPr>
          <w:i/>
        </w:rPr>
        <w:t>За мярка 41 (</w:t>
      </w:r>
      <w:r>
        <w:rPr>
          <w:i/>
          <w:lang w:val="en-US"/>
        </w:rPr>
        <w:t>R8_1</w:t>
      </w:r>
      <w:r>
        <w:rPr>
          <w:i/>
        </w:rPr>
        <w:t>)</w:t>
      </w: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00"/>
        <w:gridCol w:w="1720"/>
        <w:gridCol w:w="960"/>
        <w:gridCol w:w="960"/>
        <w:gridCol w:w="960"/>
        <w:gridCol w:w="960"/>
      </w:tblGrid>
      <w:tr w:rsidR="00AB537E" w:rsidTr="00AB537E">
        <w:trPr>
          <w:trHeight w:val="900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Оси</w:t>
            </w:r>
          </w:p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 брой на създадените работни места</w:t>
            </w:r>
          </w:p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B537E" w:rsidTr="00AB537E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Мъже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Общо</w:t>
            </w:r>
          </w:p>
        </w:tc>
      </w:tr>
      <w:tr w:rsidR="00AB537E" w:rsidTr="00AB537E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B537E" w:rsidTr="00AB537E">
        <w:trPr>
          <w:trHeight w:val="79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7F5713" w:rsidRDefault="007F57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Pr="007F5713" w:rsidRDefault="007F57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493397">
              <w:rPr>
                <w:rFonts w:ascii="Arial" w:hAnsi="Arial" w:cs="Arial"/>
                <w:lang w:val="en-US"/>
              </w:rPr>
              <w:t>1</w:t>
            </w:r>
          </w:p>
        </w:tc>
      </w:tr>
      <w:tr w:rsidR="00AB537E" w:rsidTr="00AB537E">
        <w:trPr>
          <w:trHeight w:val="45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81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7F5713" w:rsidRDefault="004933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7F5713" w:rsidRDefault="007F57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Pr="007F5713" w:rsidRDefault="007F5713" w:rsidP="007F57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r w:rsidR="00493397">
              <w:rPr>
                <w:rFonts w:ascii="Arial" w:hAnsi="Arial" w:cs="Arial"/>
                <w:lang w:val="en-US"/>
              </w:rPr>
              <w:t>9</w:t>
            </w:r>
          </w:p>
        </w:tc>
      </w:tr>
      <w:tr w:rsidR="00AB537E" w:rsidTr="00AB537E">
        <w:trPr>
          <w:trHeight w:val="330"/>
        </w:trPr>
        <w:tc>
          <w:tcPr>
            <w:tcW w:w="160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Общо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B537E" w:rsidRPr="00493397" w:rsidRDefault="004933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B537E" w:rsidRPr="00493397" w:rsidRDefault="004933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AB537E" w:rsidRPr="007F5713" w:rsidRDefault="007F57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  <w:tr w:rsidR="00AB537E" w:rsidTr="00AB537E">
        <w:trPr>
          <w:trHeight w:val="330"/>
        </w:trPr>
        <w:tc>
          <w:tcPr>
            <w:tcW w:w="16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6701" w:rsidRDefault="00986701" w:rsidP="00AB537E">
      <w:pPr>
        <w:rPr>
          <w:i/>
          <w:lang w:val="en-US"/>
        </w:rPr>
      </w:pPr>
    </w:p>
    <w:p w:rsidR="00986701" w:rsidRDefault="00986701" w:rsidP="00AB537E">
      <w:pPr>
        <w:rPr>
          <w:i/>
          <w:lang w:val="en-US"/>
        </w:rPr>
      </w:pPr>
    </w:p>
    <w:p w:rsidR="00986701" w:rsidRDefault="00986701" w:rsidP="00AB537E">
      <w:pPr>
        <w:rPr>
          <w:i/>
          <w:lang w:val="en-US"/>
        </w:rPr>
      </w:pPr>
    </w:p>
    <w:p w:rsidR="00AB537E" w:rsidRDefault="00AB537E" w:rsidP="00AB537E">
      <w:pPr>
        <w:rPr>
          <w:i/>
        </w:rPr>
      </w:pPr>
      <w:r>
        <w:rPr>
          <w:i/>
        </w:rPr>
        <w:t>Таблица 6</w:t>
      </w:r>
    </w:p>
    <w:p w:rsidR="00AB537E" w:rsidRDefault="00AB537E" w:rsidP="00AB537E">
      <w:pPr>
        <w:rPr>
          <w:i/>
        </w:rPr>
      </w:pPr>
      <w:r>
        <w:rPr>
          <w:i/>
        </w:rPr>
        <w:t>За мярка 41 (</w:t>
      </w:r>
      <w:r>
        <w:rPr>
          <w:i/>
          <w:lang w:val="en-US"/>
        </w:rPr>
        <w:t>R8_</w:t>
      </w:r>
      <w:r>
        <w:rPr>
          <w:i/>
        </w:rPr>
        <w:t>2)</w:t>
      </w:r>
    </w:p>
    <w:p w:rsidR="00AB537E" w:rsidRDefault="00AB537E" w:rsidP="00AB537E">
      <w:pPr>
        <w:rPr>
          <w:i/>
        </w:rPr>
      </w:pPr>
    </w:p>
    <w:tbl>
      <w:tblPr>
        <w:tblW w:w="905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3430"/>
        <w:gridCol w:w="1780"/>
        <w:gridCol w:w="960"/>
        <w:gridCol w:w="960"/>
        <w:gridCol w:w="960"/>
        <w:gridCol w:w="960"/>
      </w:tblGrid>
      <w:tr w:rsidR="00AB537E" w:rsidTr="00AB537E">
        <w:trPr>
          <w:trHeight w:val="900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Дейности</w:t>
            </w:r>
          </w:p>
        </w:tc>
        <w:tc>
          <w:tcPr>
            <w:tcW w:w="56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 брой на създадените работни места</w:t>
            </w:r>
          </w:p>
        </w:tc>
      </w:tr>
      <w:tr w:rsidR="00AB537E" w:rsidTr="00AB537E">
        <w:trPr>
          <w:trHeight w:val="6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Мъже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Общо</w:t>
            </w:r>
          </w:p>
        </w:tc>
      </w:tr>
      <w:tr w:rsidR="00AB537E" w:rsidTr="00AB537E">
        <w:trPr>
          <w:trHeight w:val="6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≥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B537E" w:rsidTr="00AB537E">
        <w:trPr>
          <w:trHeight w:val="671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В земеделско стопанство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986701" w:rsidRDefault="009867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B537E" w:rsidRPr="00986701" w:rsidRDefault="00986701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18</w:t>
            </w:r>
          </w:p>
        </w:tc>
      </w:tr>
      <w:tr w:rsidR="00AB537E" w:rsidTr="00AB537E">
        <w:trPr>
          <w:trHeight w:val="46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Агротуризъм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53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Занаяти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33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Продажби на дребно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78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не енергия от </w:t>
            </w:r>
            <w:proofErr w:type="spellStart"/>
            <w:r>
              <w:rPr>
                <w:rFonts w:ascii="Arial" w:hAnsi="Arial" w:cs="Arial"/>
              </w:rPr>
              <w:t>възобновяеми</w:t>
            </w:r>
            <w:proofErr w:type="spellEnd"/>
            <w:r>
              <w:rPr>
                <w:rFonts w:ascii="Arial" w:hAnsi="Arial" w:cs="Arial"/>
              </w:rPr>
              <w:t xml:space="preserve"> източници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3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52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Извън земеделското стопанство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986701" w:rsidRDefault="009867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Pr="00986701" w:rsidRDefault="009867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Pr="00986701" w:rsidRDefault="009867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</w:tr>
      <w:tr w:rsidR="00AB537E" w:rsidTr="00AB537E">
        <w:trPr>
          <w:trHeight w:val="3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Туризъм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3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Занаяти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3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Продажби на дребно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93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Производство не енергия от </w:t>
            </w:r>
            <w:proofErr w:type="spellStart"/>
            <w:r>
              <w:rPr>
                <w:rFonts w:ascii="Arial" w:hAnsi="Arial" w:cs="Arial"/>
              </w:rPr>
              <w:t>възобновяеми</w:t>
            </w:r>
            <w:proofErr w:type="spellEnd"/>
            <w:r>
              <w:rPr>
                <w:rFonts w:ascii="Arial" w:hAnsi="Arial" w:cs="Arial"/>
              </w:rPr>
              <w:t xml:space="preserve"> източници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315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AB537E" w:rsidRDefault="00AB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</w:tr>
      <w:tr w:rsidR="00AB537E" w:rsidTr="00AB537E">
        <w:trPr>
          <w:trHeight w:val="330"/>
        </w:trPr>
        <w:tc>
          <w:tcPr>
            <w:tcW w:w="343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Общо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Pr="00986701" w:rsidRDefault="009867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B537E" w:rsidRPr="00986701" w:rsidRDefault="009867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B537E" w:rsidRPr="00986701" w:rsidRDefault="009867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</w:tbl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  <w:lang w:val="en-US"/>
        </w:rPr>
      </w:pPr>
      <w:r>
        <w:rPr>
          <w:i/>
        </w:rPr>
        <w:t>Таблица 7</w:t>
      </w:r>
    </w:p>
    <w:p w:rsidR="00AB537E" w:rsidRDefault="00AB537E" w:rsidP="00AB537E">
      <w:pPr>
        <w:rPr>
          <w:i/>
        </w:rPr>
      </w:pPr>
      <w:r>
        <w:rPr>
          <w:i/>
        </w:rPr>
        <w:t>Мярка 431-1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1980"/>
        <w:gridCol w:w="3060"/>
      </w:tblGrid>
      <w:tr w:rsidR="00AB537E" w:rsidTr="00AB537E">
        <w:trPr>
          <w:cantSplit/>
          <w:trHeight w:val="2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537E" w:rsidRDefault="00AB537E">
            <w:pPr>
              <w:spacing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B537E" w:rsidRDefault="00AB537E">
            <w:pPr>
              <w:spacing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Стойност съобразно специфичните цели за периода 2007-2013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537E" w:rsidRDefault="00AB537E">
            <w:pPr>
              <w:spacing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Стойност съобразно постигнатото за периода на отчитане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AB537E" w:rsidRDefault="00AB537E">
            <w:pPr>
              <w:spacing w:after="120"/>
              <w:ind w:left="-108" w:right="-108"/>
              <w:jc w:val="center"/>
              <w:rPr>
                <w:b/>
                <w:highlight w:val="yellow"/>
              </w:rPr>
            </w:pPr>
            <w:r>
              <w:rPr>
                <w:i/>
              </w:rPr>
              <w:t>Стойност от началото на прилагане на стратегията</w:t>
            </w:r>
          </w:p>
        </w:tc>
      </w:tr>
      <w:tr w:rsidR="00AB537E" w:rsidTr="00AB537E">
        <w:trPr>
          <w:cantSplit/>
          <w:trHeight w:val="20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spacing w:before="40" w:after="40"/>
            </w:pPr>
            <w:r>
              <w:t>Брой дейности за придобиване на умения и постигане на обществена активност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spacing w:before="40" w:after="40"/>
              <w:ind w:right="396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B537E" w:rsidRDefault="00AB53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B537E" w:rsidRDefault="00FF3219">
            <w:pPr>
              <w:ind w:left="-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537E" w:rsidRDefault="00AB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AB537E" w:rsidRDefault="00AB537E">
            <w:pPr>
              <w:rPr>
                <w:sz w:val="28"/>
                <w:szCs w:val="28"/>
              </w:rPr>
            </w:pPr>
          </w:p>
          <w:p w:rsidR="00AB537E" w:rsidRDefault="005A38D6">
            <w:pPr>
              <w:tabs>
                <w:tab w:val="center" w:pos="14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148</w:t>
            </w:r>
          </w:p>
        </w:tc>
      </w:tr>
      <w:tr w:rsidR="00AB537E" w:rsidTr="00AB537E">
        <w:trPr>
          <w:cantSplit/>
          <w:trHeight w:val="29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spacing w:before="40" w:after="40"/>
            </w:pPr>
            <w:r>
              <w:t xml:space="preserve">Брой на участниците в дейностите по обучение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B537E" w:rsidRDefault="00F05F3D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537E" w:rsidRDefault="00AB537E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B537E" w:rsidRPr="00F05F3D" w:rsidRDefault="00F05F3D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449</w:t>
            </w:r>
          </w:p>
        </w:tc>
      </w:tr>
      <w:tr w:rsidR="00AB537E" w:rsidTr="00AB537E">
        <w:trPr>
          <w:cantSplit/>
          <w:trHeight w:val="29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spacing w:before="40" w:after="40"/>
            </w:pPr>
            <w:r>
              <w:t>Брой на участниците, успешно завършили обучението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B537E" w:rsidRDefault="00F05F3D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537E" w:rsidRDefault="00AB537E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B537E" w:rsidRPr="00F05F3D" w:rsidRDefault="00F05F3D">
            <w:pPr>
              <w:pStyle w:val="CharCharZchnZchnChar"/>
              <w:spacing w:before="40" w:after="40" w:line="240" w:lineRule="auto"/>
              <w:ind w:right="3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449</w:t>
            </w:r>
          </w:p>
        </w:tc>
      </w:tr>
      <w:tr w:rsidR="00AB537E" w:rsidTr="00AB537E">
        <w:trPr>
          <w:trHeight w:val="959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pStyle w:val="CharCharZchnZchnChar"/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Брой на участниците в дейностите по информиране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B537E" w:rsidRDefault="00AB537E">
            <w:pPr>
              <w:ind w:right="396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ind w:right="396"/>
              <w:jc w:val="center"/>
              <w:rPr>
                <w:sz w:val="28"/>
                <w:szCs w:val="28"/>
              </w:rPr>
            </w:pPr>
          </w:p>
          <w:p w:rsidR="00AB537E" w:rsidRDefault="00FF32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B537E" w:rsidRDefault="00AB537E">
            <w:pPr>
              <w:ind w:right="396"/>
              <w:jc w:val="center"/>
              <w:rPr>
                <w:sz w:val="28"/>
                <w:szCs w:val="28"/>
              </w:rPr>
            </w:pPr>
          </w:p>
          <w:p w:rsidR="00AB537E" w:rsidRPr="00FF3219" w:rsidRDefault="00FF32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</w:tbl>
    <w:p w:rsidR="00AB537E" w:rsidRDefault="00AB537E" w:rsidP="00AB537E">
      <w:pPr>
        <w:rPr>
          <w:i/>
          <w:lang w:val="en-US"/>
        </w:rPr>
      </w:pPr>
    </w:p>
    <w:p w:rsidR="00AB537E" w:rsidRDefault="00AB537E" w:rsidP="00AB537E">
      <w:pPr>
        <w:rPr>
          <w:i/>
          <w:lang w:val="en-US"/>
        </w:rPr>
      </w:pPr>
    </w:p>
    <w:p w:rsidR="00AB537E" w:rsidRDefault="00AB537E" w:rsidP="00AB537E">
      <w:pPr>
        <w:rPr>
          <w:i/>
        </w:rPr>
      </w:pPr>
      <w:r>
        <w:rPr>
          <w:i/>
        </w:rPr>
        <w:t>Таблица 8</w:t>
      </w:r>
    </w:p>
    <w:p w:rsidR="00AB537E" w:rsidRDefault="00AB537E" w:rsidP="00AB537E"/>
    <w:p w:rsidR="00AB537E" w:rsidRDefault="00AB537E" w:rsidP="00AB537E">
      <w:r>
        <w:t xml:space="preserve">Мярка 431 (О. 431) </w:t>
      </w:r>
    </w:p>
    <w:tbl>
      <w:tblPr>
        <w:tblW w:w="9555" w:type="dxa"/>
        <w:tblInd w:w="55" w:type="dxa"/>
        <w:shd w:val="clear" w:color="auto" w:fill="FF0000"/>
        <w:tblCellMar>
          <w:left w:w="70" w:type="dxa"/>
          <w:right w:w="70" w:type="dxa"/>
        </w:tblCellMar>
        <w:tblLook w:val="0000"/>
      </w:tblPr>
      <w:tblGrid>
        <w:gridCol w:w="4243"/>
        <w:gridCol w:w="2075"/>
        <w:gridCol w:w="1617"/>
        <w:gridCol w:w="1620"/>
      </w:tblGrid>
      <w:tr w:rsidR="00AB537E" w:rsidTr="005A38D6">
        <w:trPr>
          <w:trHeight w:val="140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Вид на дейностите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Брой подпомогнати дейности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Публични разходи (субсидия), лева</w:t>
            </w:r>
          </w:p>
        </w:tc>
      </w:tr>
      <w:tr w:rsidR="00AB537E" w:rsidTr="005A38D6">
        <w:trPr>
          <w:trHeight w:val="34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ЕЗФРСР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</w:tr>
      <w:tr w:rsidR="00AB537E" w:rsidTr="005A38D6">
        <w:trPr>
          <w:trHeight w:val="9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Проучвания на територията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5A38D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AB537E" w:rsidTr="005A38D6">
        <w:trPr>
          <w:trHeight w:val="7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Мерки за предоставяне на информация за района и стратегията за местно развитие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1D3F9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2B791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8560.00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1D3F9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10700.00</w:t>
            </w:r>
          </w:p>
        </w:tc>
      </w:tr>
      <w:tr w:rsidR="00AB537E" w:rsidTr="005A38D6">
        <w:trPr>
          <w:trHeight w:val="9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Обучение на персонала, който участва в подготовката и изпълнението на стратегията за местно развитие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1D3F9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2B791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1696.00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1D3F9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2120.00</w:t>
            </w:r>
          </w:p>
        </w:tc>
      </w:tr>
      <w:tr w:rsidR="00AB537E" w:rsidTr="005A38D6">
        <w:trPr>
          <w:trHeight w:val="3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Информационни дейност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1D5A18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B87B4A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7980.00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4A0E71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9975.00</w:t>
            </w:r>
          </w:p>
        </w:tc>
      </w:tr>
      <w:tr w:rsidR="00AB537E" w:rsidTr="005A38D6">
        <w:trPr>
          <w:trHeight w:val="6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Други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AB537E" w:rsidTr="00B87B4A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Pr="007F1E75" w:rsidRDefault="007F1E7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B87B4A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18236.00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7E" w:rsidRDefault="007F1E7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22795.00</w:t>
            </w:r>
          </w:p>
        </w:tc>
      </w:tr>
    </w:tbl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</w:p>
    <w:p w:rsidR="00AB537E" w:rsidRDefault="00AB537E" w:rsidP="00AB537E">
      <w:pPr>
        <w:rPr>
          <w:i/>
        </w:rPr>
      </w:pPr>
      <w:r>
        <w:rPr>
          <w:i/>
        </w:rPr>
        <w:t>Таблица 9</w:t>
      </w:r>
    </w:p>
    <w:p w:rsidR="00AB537E" w:rsidRDefault="00AB537E" w:rsidP="00AB537E"/>
    <w:p w:rsidR="00AB537E" w:rsidRDefault="00AB537E" w:rsidP="00AB537E">
      <w:r>
        <w:t>Мярка 431 (</w:t>
      </w:r>
      <w:r>
        <w:rPr>
          <w:rFonts w:ascii="Arial Unicode MS" w:eastAsia="Arial Unicode MS" w:hAnsi="Arial Unicode MS" w:cs="Arial Unicode MS" w:hint="eastAsia"/>
        </w:rPr>
        <w:t>O.341(2))</w:t>
      </w:r>
    </w:p>
    <w:tbl>
      <w:tblPr>
        <w:tblW w:w="63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98"/>
        <w:gridCol w:w="2657"/>
        <w:gridCol w:w="2160"/>
      </w:tblGrid>
      <w:tr w:rsidR="00AB537E" w:rsidTr="00AB537E">
        <w:trPr>
          <w:trHeight w:val="31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ind w:left="427" w:hanging="427"/>
              <w:jc w:val="center"/>
            </w:pPr>
            <w:r>
              <w:t>Придобиване на умения и постигане на обществена активност</w:t>
            </w:r>
            <w:r>
              <w:rPr>
                <w:lang w:val="ru-RU"/>
              </w:rPr>
              <w:t xml:space="preserve"> </w:t>
            </w:r>
            <w:r>
              <w:t>и прилагане на стратегията за местно развитие</w:t>
            </w:r>
          </w:p>
          <w:p w:rsidR="00AB537E" w:rsidRDefault="00AB537E">
            <w:pPr>
              <w:ind w:left="427" w:hanging="427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B537E" w:rsidTr="00AB537E">
        <w:trPr>
          <w:trHeight w:val="772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Пол</w:t>
            </w:r>
          </w:p>
        </w:tc>
        <w:tc>
          <w:tcPr>
            <w:tcW w:w="265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Години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Брой участници</w:t>
            </w:r>
          </w:p>
        </w:tc>
      </w:tr>
      <w:tr w:rsidR="00AB537E" w:rsidTr="00AB537E">
        <w:trPr>
          <w:trHeight w:val="345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Мъже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&lt;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0744A0" w:rsidRDefault="000744A0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21</w:t>
            </w:r>
          </w:p>
        </w:tc>
      </w:tr>
      <w:tr w:rsidR="00AB537E" w:rsidTr="00AB537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lang w:val="en-US"/>
              </w:rPr>
              <w:t>-</w:t>
            </w:r>
          </w:p>
        </w:tc>
      </w:tr>
      <w:tr w:rsidR="00AB537E" w:rsidTr="00AB537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&gt;25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0744A0" w:rsidRDefault="000744A0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27</w:t>
            </w:r>
          </w:p>
        </w:tc>
      </w:tr>
      <w:tr w:rsidR="00AB537E" w:rsidTr="00AB537E">
        <w:trPr>
          <w:trHeight w:val="322"/>
        </w:trPr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Жени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&lt;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0744A0" w:rsidRDefault="000744A0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9</w:t>
            </w:r>
          </w:p>
        </w:tc>
      </w:tr>
      <w:tr w:rsidR="00AB537E" w:rsidTr="00AB537E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 -</w:t>
            </w:r>
          </w:p>
        </w:tc>
      </w:tr>
      <w:tr w:rsidR="00AB537E" w:rsidTr="00AB537E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&gt;25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37E" w:rsidRPr="000744A0" w:rsidRDefault="00AB537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 </w:t>
            </w:r>
            <w:r w:rsidR="000744A0">
              <w:rPr>
                <w:rFonts w:ascii="Arial Unicode MS" w:eastAsia="Arial Unicode MS" w:hAnsi="Arial Unicode MS" w:cs="Arial Unicode MS"/>
              </w:rPr>
              <w:t>34</w:t>
            </w:r>
          </w:p>
        </w:tc>
      </w:tr>
      <w:tr w:rsidR="00AB537E" w:rsidTr="00AB537E">
        <w:trPr>
          <w:trHeight w:val="660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B537E" w:rsidRDefault="00AB537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Общо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537E" w:rsidRDefault="00CE1A4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91</w:t>
            </w:r>
          </w:p>
        </w:tc>
      </w:tr>
    </w:tbl>
    <w:p w:rsidR="00AB537E" w:rsidRDefault="00AB537E" w:rsidP="00AB537E">
      <w:pPr>
        <w:shd w:val="clear" w:color="auto" w:fill="FFFFFF"/>
        <w:spacing w:before="754" w:line="360" w:lineRule="auto"/>
        <w:ind w:left="34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 Прилагане на Стратегия за местно развитие.</w:t>
      </w:r>
    </w:p>
    <w:p w:rsidR="00AB537E" w:rsidRDefault="00AB537E" w:rsidP="00AB537E">
      <w:pPr>
        <w:shd w:val="clear" w:color="auto" w:fill="FFFFFF"/>
        <w:tabs>
          <w:tab w:val="left" w:pos="1339"/>
        </w:tabs>
        <w:spacing w:before="490" w:line="360" w:lineRule="auto"/>
        <w:ind w:left="686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6.1.</w:t>
      </w:r>
      <w:r>
        <w:rPr>
          <w:b/>
          <w:bCs/>
          <w:color w:val="000000"/>
          <w:sz w:val="24"/>
          <w:szCs w:val="24"/>
        </w:rPr>
        <w:tab/>
        <w:t>Цел на стратегията</w:t>
      </w: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Устойчиво развитие на територията на МИГ Кнежа  </w:t>
      </w: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hd w:val="clear" w:color="auto" w:fill="FFFFFF"/>
        <w:tabs>
          <w:tab w:val="left" w:pos="1339"/>
        </w:tabs>
        <w:spacing w:before="125" w:line="360" w:lineRule="auto"/>
        <w:ind w:left="686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6.2.</w:t>
      </w:r>
      <w:r>
        <w:rPr>
          <w:b/>
          <w:bCs/>
          <w:color w:val="000000"/>
          <w:sz w:val="24"/>
          <w:szCs w:val="24"/>
        </w:rPr>
        <w:tab/>
        <w:t>Специфични цели - цялостна стратегическа рамка</w:t>
      </w:r>
    </w:p>
    <w:p w:rsidR="00AB537E" w:rsidRDefault="00AB537E" w:rsidP="00AB537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Специфични цели по приоритет 1 :</w:t>
      </w:r>
      <w:r>
        <w:rPr>
          <w:bCs/>
          <w:iCs/>
          <w:sz w:val="24"/>
          <w:szCs w:val="24"/>
        </w:rPr>
        <w:t xml:space="preserve"> Развитие на конкурентоспособността на земеделските стопанства:</w:t>
      </w:r>
    </w:p>
    <w:p w:rsidR="00AB537E" w:rsidRDefault="00AB537E" w:rsidP="00AB537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Модернизиране на производствените условия на стопанствата  и насърчаване въвеждането на нови технологични решения</w:t>
      </w:r>
    </w:p>
    <w:p w:rsidR="00AB537E" w:rsidRDefault="00AB537E" w:rsidP="00AB537E">
      <w:pPr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Повишаване на икономическата  ефективност на предприятията</w:t>
      </w: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pacing w:line="360" w:lineRule="auto"/>
        <w:jc w:val="both"/>
        <w:rPr>
          <w:b/>
          <w:sz w:val="24"/>
          <w:szCs w:val="24"/>
        </w:rPr>
      </w:pPr>
    </w:p>
    <w:p w:rsidR="00AB537E" w:rsidRDefault="00AB537E" w:rsidP="00AB537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Специфични цели по приоритет 2 :</w:t>
      </w:r>
      <w:r>
        <w:rPr>
          <w:sz w:val="24"/>
          <w:szCs w:val="24"/>
        </w:rPr>
        <w:t xml:space="preserve"> Подобряване качеството на живот:</w:t>
      </w:r>
    </w:p>
    <w:p w:rsidR="00AB537E" w:rsidRDefault="00AB537E" w:rsidP="00AB537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Насърчаване на неземеделското предприемачество</w:t>
      </w:r>
    </w:p>
    <w:p w:rsidR="00AB537E" w:rsidRDefault="00AB537E" w:rsidP="00AB537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Подобряване на условията за предоставяне на обществени, културни, спортни и социални услуги</w:t>
      </w: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</w:p>
    <w:p w:rsidR="00AB537E" w:rsidRDefault="00AB537E" w:rsidP="00AB537E">
      <w:pPr>
        <w:spacing w:line="360" w:lineRule="auto"/>
        <w:jc w:val="both"/>
        <w:rPr>
          <w:sz w:val="24"/>
          <w:szCs w:val="24"/>
        </w:rPr>
      </w:pPr>
    </w:p>
    <w:p w:rsidR="00AB537E" w:rsidRDefault="00B7091A" w:rsidP="00AB537E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514.1pt;height:301.45pt;mso-position-horizontal-relative:char;mso-position-vertical-relative:line" coordorigin="569,1408" coordsize="10282,6029">
            <o:lock v:ext="edit" aspectratio="t"/>
            <v:shape id="_x0000_s1027" type="#_x0000_t75" style="position:absolute;left:569;top:1408;width:10282;height:6029" o:preferrelative="f">
              <v:fill o:detectmouseclick="t"/>
              <v:path o:extrusionok="t" o:connecttype="none"/>
            </v:shape>
            <v:line id="_x0000_s1028" style="position:absolute;flip:y" from="2855,4019" to="2856,4379">
              <v:stroke endarrow="block"/>
            </v:line>
            <v:line id="_x0000_s1029" style="position:absolute;flip:y" from="3937,3583" to="3938,4018">
              <v:stroke endarrow="block"/>
            </v:line>
            <v:line id="_x0000_s1030" style="position:absolute" from="2858,4018" to="5018,4019"/>
            <v:rect id="_x0000_s1031" style="position:absolute;left:1054;top:4378;width:2703;height:1920">
              <v:textbox style="mso-next-textbox:#_x0000_s1031">
                <w:txbxContent>
                  <w:p w:rsidR="00AB537E" w:rsidRDefault="00AB537E" w:rsidP="00AB537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Специфична цел 1.1</w:t>
                    </w:r>
                  </w:p>
                  <w:p w:rsidR="00AB537E" w:rsidRDefault="00AB537E" w:rsidP="00AB537E">
                    <w:pPr>
                      <w:spacing w:after="12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Модернизиране на производствените условия на стопанствата  и насърчаване въвеждането на нови технологични решения</w:t>
                    </w:r>
                  </w:p>
                  <w:p w:rsidR="00AB537E" w:rsidRDefault="00AB537E" w:rsidP="00AB537E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ect>
            <v:line id="_x0000_s1032" style="position:absolute;flip:y" from="5016,4018" to="5017,4378">
              <v:stroke endarrow="block"/>
            </v:line>
            <v:line id="_x0000_s1033" style="position:absolute;flip:y" from="7176,4018" to="7177,4378">
              <v:stroke endarrow="block"/>
            </v:line>
            <v:rect id="_x0000_s1034" style="position:absolute;left:6099;top:4380;width:2065;height:1919">
              <v:textbox style="mso-next-textbox:#_x0000_s1034">
                <w:txbxContent>
                  <w:p w:rsidR="00AB537E" w:rsidRDefault="00AB537E" w:rsidP="00AB537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Специфична цел 2.1</w:t>
                    </w:r>
                  </w:p>
                  <w:p w:rsidR="00AB537E" w:rsidRDefault="00AB537E" w:rsidP="00AB537E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Насърчаване на неземеделското предприемачество</w:t>
                    </w:r>
                  </w:p>
                </w:txbxContent>
              </v:textbox>
            </v:rect>
            <v:rect id="_x0000_s1035" style="position:absolute;left:3940;top:4379;width:1977;height:1920">
              <v:textbox style="mso-next-textbox:#_x0000_s1035">
                <w:txbxContent>
                  <w:p w:rsidR="00AB537E" w:rsidRDefault="00AB537E" w:rsidP="00AB537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Специфична цел 1.2</w:t>
                    </w:r>
                  </w:p>
                  <w:p w:rsidR="00AB537E" w:rsidRDefault="00AB537E" w:rsidP="00AB537E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Повишаване на икономическата  ефективност на предприятията</w:t>
                    </w:r>
                  </w:p>
                </w:txbxContent>
              </v:textbox>
            </v:rect>
            <v:rect id="_x0000_s1036" style="position:absolute;left:6817;top:6568;width:1260;height:480">
              <v:textbox style="mso-next-textbox:#_x0000_s1036">
                <w:txbxContent>
                  <w:p w:rsidR="00AB537E" w:rsidRDefault="00AB537E" w:rsidP="00AB537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М. 312</w:t>
                    </w:r>
                  </w:p>
                  <w:p w:rsidR="00AB537E" w:rsidRDefault="00AB537E" w:rsidP="00AB537E"/>
                </w:txbxContent>
              </v:textbox>
            </v:rect>
            <v:rect id="_x0000_s1037" style="position:absolute;left:3217;top:6568;width:1260;height:480">
              <v:textbox style="mso-next-textbox:#_x0000_s1037">
                <w:txbxContent>
                  <w:p w:rsidR="00AB537E" w:rsidRDefault="00AB537E" w:rsidP="00AB537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М. 123</w:t>
                    </w:r>
                  </w:p>
                  <w:p w:rsidR="00AB537E" w:rsidRDefault="00AB537E" w:rsidP="00AB537E"/>
                </w:txbxContent>
              </v:textbox>
            </v:rect>
            <v:rect id="_x0000_s1038" style="position:absolute;left:1058;top:6568;width:1260;height:480">
              <v:textbox style="mso-next-textbox:#_x0000_s1038">
                <w:txbxContent>
                  <w:p w:rsidR="00AB537E" w:rsidRDefault="00AB537E" w:rsidP="00AB537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М. 121</w:t>
                    </w:r>
                  </w:p>
                </w:txbxContent>
              </v:textbox>
            </v:rect>
            <v:rect id="_x0000_s1039" style="position:absolute;left:1777;top:2608;width:4140;height:975">
              <v:textbox style="mso-next-textbox:#_x0000_s1039">
                <w:txbxContent>
                  <w:p w:rsidR="00AB537E" w:rsidRDefault="00AB537E" w:rsidP="00AB537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ПРИОРИТЕТ 1</w:t>
                    </w:r>
                  </w:p>
                  <w:p w:rsidR="00AB537E" w:rsidRDefault="00AB537E" w:rsidP="00AB53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Cs/>
                        <w:iCs/>
                        <w:sz w:val="24"/>
                        <w:szCs w:val="24"/>
                      </w:rPr>
                      <w:t xml:space="preserve">Развитие на </w:t>
                    </w:r>
                    <w:proofErr w:type="spellStart"/>
                    <w:r>
                      <w:rPr>
                        <w:bCs/>
                        <w:iCs/>
                        <w:sz w:val="24"/>
                        <w:szCs w:val="24"/>
                      </w:rPr>
                      <w:t>конкурентноспособността</w:t>
                    </w:r>
                    <w:proofErr w:type="spellEnd"/>
                    <w:r>
                      <w:rPr>
                        <w:bCs/>
                        <w:iCs/>
                        <w:sz w:val="24"/>
                        <w:szCs w:val="24"/>
                      </w:rPr>
                      <w:t xml:space="preserve"> на земеделските стопанства</w:t>
                    </w:r>
                  </w:p>
                </w:txbxContent>
              </v:textbox>
            </v:rect>
            <v:line id="_x0000_s1040" style="position:absolute;flip:y" from="709,1822" to="710,7402" strokeweight="3.5pt">
              <v:stroke endarrow="block"/>
            </v:line>
            <v:rect id="_x0000_s1041" style="position:absolute;left:6457;top:2608;width:3711;height:975">
              <v:textbox style="mso-next-textbox:#_x0000_s1041">
                <w:txbxContent>
                  <w:p w:rsidR="00AB537E" w:rsidRDefault="00AB537E" w:rsidP="00AB537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ПРИОРИТЕТ 2</w:t>
                    </w:r>
                  </w:p>
                  <w:p w:rsidR="00AB537E" w:rsidRDefault="00AB537E" w:rsidP="00AB53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Подобряване качеството на живот</w:t>
                    </w:r>
                  </w:p>
                </w:txbxContent>
              </v:textbox>
            </v:rect>
            <v:rect id="_x0000_s1042" style="position:absolute;left:2318;top:1408;width:7850;height:660">
              <v:textbox style="mso-next-textbox:#_x0000_s1042">
                <w:txbxContent>
                  <w:p w:rsidR="00AB537E" w:rsidRDefault="00AB537E" w:rsidP="00AB537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СТРАТЕГИЧЕСКА ЦЕЛ</w:t>
                    </w:r>
                  </w:p>
                  <w:p w:rsidR="00AB537E" w:rsidRDefault="00AB537E" w:rsidP="00AB53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Устойчиво развитие на територията на МИГ Кнежа  </w:t>
                    </w:r>
                  </w:p>
                </w:txbxContent>
              </v:textbox>
            </v:rect>
            <v:line id="_x0000_s1043" style="position:absolute;flip:y" from="6098,2068" to="6099,2428">
              <v:stroke endarrow="block"/>
            </v:line>
            <v:line id="_x0000_s1044" style="position:absolute" from="3937,2428" to="8257,2429"/>
            <v:line id="_x0000_s1045" style="position:absolute;flip:y" from="8256,2428" to="8257,2608">
              <v:stroke endarrow="block"/>
            </v:line>
            <v:line id="_x0000_s1046" style="position:absolute;flip:y" from="3939,2428" to="3940,2608">
              <v:stroke endarrow="block"/>
            </v:line>
            <v:line id="_x0000_s1047" style="position:absolute;flip:y" from="8258,3583" to="8259,4019">
              <v:stroke endarrow="block"/>
            </v:line>
            <v:line id="_x0000_s1048" style="position:absolute" from="7177,4019" to="9337,4020"/>
            <v:rect id="_x0000_s1049" style="position:absolute;left:8257;top:4378;width:2586;height:1920">
              <v:textbox style="mso-next-textbox:#_x0000_s1049">
                <w:txbxContent>
                  <w:p w:rsidR="00AB537E" w:rsidRDefault="00AB537E" w:rsidP="00AB537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Специфична цел 2.1</w:t>
                    </w:r>
                  </w:p>
                  <w:p w:rsidR="00AB537E" w:rsidRDefault="00AB537E" w:rsidP="00AB537E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Подобряване  на условията за предоставяне на обществени, културни, спортни и социални  услуги</w:t>
                    </w:r>
                  </w:p>
                </w:txbxContent>
              </v:textbox>
            </v:rect>
            <v:line id="_x0000_s1050" style="position:absolute;flip:y" from="9336,4020" to="9337,4380">
              <v:stroke endarrow="block"/>
            </v:line>
            <v:rect id="_x0000_s1051" style="position:absolute;left:9583;top:6568;width:1260;height:480">
              <v:textbox style="mso-next-textbox:#_x0000_s1051">
                <w:txbxContent>
                  <w:p w:rsidR="00AB537E" w:rsidRDefault="00AB537E" w:rsidP="00AB537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М. 322 </w:t>
                    </w:r>
                  </w:p>
                  <w:p w:rsidR="00AB537E" w:rsidRDefault="00AB537E" w:rsidP="00AB537E"/>
                </w:txbxContent>
              </v:textbox>
            </v:rect>
            <v:rect id="_x0000_s1052" style="position:absolute;left:5557;top:6568;width:1260;height:480">
              <v:textbox style="mso-next-textbox:#_x0000_s1052">
                <w:txbxContent>
                  <w:p w:rsidR="00AB537E" w:rsidRDefault="00AB537E" w:rsidP="00AB537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М. 311</w:t>
                    </w:r>
                  </w:p>
                  <w:p w:rsidR="00AB537E" w:rsidRDefault="00AB537E" w:rsidP="00AB537E"/>
                </w:txbxContent>
              </v:textbox>
            </v:rect>
            <v:line id="_x0000_s1053" style="position:absolute;flip:y" from="10505,6298" to="10506,6568">
              <v:stroke endarrow="block"/>
            </v:line>
            <v:line id="_x0000_s1054" style="position:absolute;flip:y" from="6558,6328" to="6559,6568">
              <v:stroke endarrow="block"/>
            </v:line>
            <v:line id="_x0000_s1055" style="position:absolute;flip:y" from="4265,6299" to="4266,6539">
              <v:stroke endarrow="block"/>
            </v:line>
            <v:line id="_x0000_s1056" style="position:absolute;flip:y" from="1653,6298" to="1654,6568">
              <v:stroke endarrow="block"/>
            </v:line>
            <v:rect id="_x0000_s1057" style="position:absolute;left:8256;top:6568;width:1260;height:480">
              <v:textbox style="mso-next-textbox:#_x0000_s1057">
                <w:txbxContent>
                  <w:p w:rsidR="00AB537E" w:rsidRDefault="00AB537E" w:rsidP="00AB537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М. 321 </w:t>
                    </w:r>
                  </w:p>
                  <w:p w:rsidR="00AB537E" w:rsidRDefault="00AB537E" w:rsidP="00AB537E"/>
                </w:txbxContent>
              </v:textbox>
            </v:rect>
            <v:line id="_x0000_s1058" style="position:absolute;flip:y" from="8914,6299" to="8915,6539">
              <v:stroke endarrow="block"/>
            </v:line>
            <v:line id="_x0000_s1059" style="position:absolute;flip:y" from="7335,6328" to="7336,6568">
              <v:stroke endarrow="block"/>
            </v:line>
            <w10:wrap type="none"/>
            <w10:anchorlock/>
          </v:group>
        </w:pict>
      </w:r>
    </w:p>
    <w:p w:rsidR="00AB537E" w:rsidRDefault="00AB537E" w:rsidP="00AB537E">
      <w:pPr>
        <w:ind w:left="360"/>
        <w:jc w:val="both"/>
        <w:rPr>
          <w:sz w:val="22"/>
        </w:rPr>
      </w:pPr>
    </w:p>
    <w:p w:rsidR="00AB537E" w:rsidRDefault="00AB537E" w:rsidP="00AB537E">
      <w:pPr>
        <w:ind w:left="360"/>
        <w:jc w:val="both"/>
        <w:rPr>
          <w:sz w:val="22"/>
        </w:rPr>
      </w:pPr>
    </w:p>
    <w:p w:rsidR="00AB537E" w:rsidRDefault="00AB537E" w:rsidP="00AB537E">
      <w:pPr>
        <w:shd w:val="clear" w:color="auto" w:fill="FFFFFF"/>
        <w:tabs>
          <w:tab w:val="left" w:pos="1344"/>
        </w:tabs>
        <w:spacing w:line="360" w:lineRule="auto"/>
        <w:ind w:left="1032" w:hanging="346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pacing w:val="-2"/>
          <w:sz w:val="24"/>
          <w:szCs w:val="24"/>
        </w:rPr>
        <w:t>6.3.</w:t>
      </w:r>
      <w:r>
        <w:rPr>
          <w:b/>
          <w:bCs/>
          <w:color w:val="000000"/>
          <w:sz w:val="24"/>
          <w:szCs w:val="24"/>
        </w:rPr>
        <w:tab/>
        <w:t>Обосновка на избраните мерки, по които са публикувани обяви за</w:t>
      </w:r>
      <w:r>
        <w:rPr>
          <w:b/>
          <w:bCs/>
          <w:color w:val="000000"/>
          <w:sz w:val="24"/>
          <w:szCs w:val="24"/>
        </w:rPr>
        <w:br/>
        <w:t>прием на заявления за настоящата година:</w:t>
      </w:r>
    </w:p>
    <w:p w:rsidR="00220A94" w:rsidRPr="00220A94" w:rsidRDefault="00220A94" w:rsidP="00AB537E">
      <w:pPr>
        <w:shd w:val="clear" w:color="auto" w:fill="FFFFFF"/>
        <w:tabs>
          <w:tab w:val="left" w:pos="1344"/>
        </w:tabs>
        <w:spacing w:line="360" w:lineRule="auto"/>
        <w:ind w:left="1032" w:hanging="346"/>
        <w:rPr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-</w:t>
      </w:r>
    </w:p>
    <w:p w:rsidR="00AB537E" w:rsidRDefault="00AB537E" w:rsidP="00AB537E">
      <w:pPr>
        <w:spacing w:line="360" w:lineRule="auto"/>
        <w:ind w:left="360"/>
        <w:jc w:val="both"/>
        <w:rPr>
          <w:sz w:val="24"/>
          <w:szCs w:val="24"/>
        </w:rPr>
      </w:pPr>
    </w:p>
    <w:p w:rsidR="00AB537E" w:rsidRDefault="00AB537E" w:rsidP="00AB537E">
      <w:pPr>
        <w:shd w:val="clear" w:color="auto" w:fill="FFFFFF"/>
        <w:tabs>
          <w:tab w:val="left" w:pos="1344"/>
        </w:tabs>
        <w:spacing w:before="240" w:line="360" w:lineRule="auto"/>
        <w:ind w:left="686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6.4.</w:t>
      </w:r>
      <w:r>
        <w:rPr>
          <w:b/>
          <w:bCs/>
          <w:color w:val="000000"/>
          <w:sz w:val="24"/>
          <w:szCs w:val="24"/>
        </w:rPr>
        <w:tab/>
        <w:t>Описание на предприетите от МИГ действия за прилагане на СМР</w:t>
      </w:r>
    </w:p>
    <w:p w:rsidR="00AB537E" w:rsidRDefault="00AB537E" w:rsidP="00AB537E">
      <w:pPr>
        <w:shd w:val="clear" w:color="auto" w:fill="FFFFFF"/>
        <w:spacing w:before="211" w:line="360" w:lineRule="auto"/>
        <w:ind w:left="10" w:right="48" w:firstLine="6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този етап МИГ Кнежа предприе действия за осигуряване на условия за изпълнение на Стратегията.</w:t>
      </w:r>
    </w:p>
    <w:p w:rsidR="00AB537E" w:rsidRDefault="00AB537E" w:rsidP="00AB537E">
      <w:pPr>
        <w:widowControl/>
        <w:numPr>
          <w:ilvl w:val="0"/>
          <w:numId w:val="8"/>
        </w:numPr>
        <w:autoSpaceDE/>
        <w:adjustRightInd/>
        <w:spacing w:line="360" w:lineRule="auto"/>
        <w:ind w:left="0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Укрепване капацитета на Звеното за администриране на проекти към СМР, свързан с участието на екипа  в </w:t>
      </w:r>
      <w:r w:rsidR="00621C60">
        <w:rPr>
          <w:sz w:val="24"/>
          <w:szCs w:val="24"/>
        </w:rPr>
        <w:t>две обучения</w:t>
      </w:r>
      <w:r>
        <w:rPr>
          <w:sz w:val="24"/>
          <w:szCs w:val="24"/>
        </w:rPr>
        <w:t>.</w:t>
      </w:r>
    </w:p>
    <w:p w:rsidR="00AB537E" w:rsidRDefault="00AB537E" w:rsidP="00AB537E">
      <w:pPr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Създаване на условия за ефективно прилагане на СМР </w:t>
      </w:r>
    </w:p>
    <w:p w:rsidR="0026456E" w:rsidRDefault="00AB537E" w:rsidP="0026456E">
      <w:pPr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Дейности по информиране и обучение - </w:t>
      </w:r>
      <w:r>
        <w:rPr>
          <w:iCs/>
          <w:sz w:val="24"/>
          <w:szCs w:val="24"/>
        </w:rPr>
        <w:t>рекламни материали,</w:t>
      </w:r>
      <w:r>
        <w:rPr>
          <w:sz w:val="24"/>
          <w:szCs w:val="24"/>
        </w:rPr>
        <w:t xml:space="preserve"> публикации и съобщения в местни медии; провеждане на информационни кампании; </w:t>
      </w:r>
      <w:r w:rsidR="0026456E">
        <w:rPr>
          <w:sz w:val="24"/>
          <w:szCs w:val="24"/>
        </w:rPr>
        <w:t xml:space="preserve">  </w:t>
      </w:r>
    </w:p>
    <w:p w:rsidR="005C340B" w:rsidRDefault="005C340B" w:rsidP="005C340B">
      <w:pPr>
        <w:widowControl/>
        <w:spacing w:line="360" w:lineRule="auto"/>
        <w:jc w:val="both"/>
        <w:rPr>
          <w:sz w:val="24"/>
          <w:szCs w:val="24"/>
        </w:rPr>
      </w:pPr>
    </w:p>
    <w:p w:rsidR="00AB537E" w:rsidRDefault="005C340B" w:rsidP="005C340B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26456E">
        <w:rPr>
          <w:b/>
          <w:bCs/>
          <w:color w:val="000000"/>
          <w:sz w:val="24"/>
          <w:szCs w:val="24"/>
          <w:lang w:val="ru-RU"/>
        </w:rPr>
        <w:t xml:space="preserve">     </w:t>
      </w:r>
      <w:r w:rsidR="00AB537E">
        <w:rPr>
          <w:b/>
          <w:bCs/>
          <w:color w:val="000000"/>
          <w:sz w:val="24"/>
          <w:szCs w:val="24"/>
        </w:rPr>
        <w:t>6.5.     Описание на прилагането на мерки от СМР за конкретния период:</w:t>
      </w: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 прилагането на мерките включени в Стратегията, МИГ Кнежа е определила </w:t>
      </w:r>
      <w:r>
        <w:rPr>
          <w:sz w:val="24"/>
          <w:szCs w:val="24"/>
        </w:rPr>
        <w:lastRenderedPageBreak/>
        <w:t xml:space="preserve">индикатори за наблюдение, ръководейки се от индикаторите по отделните мерки, заложени в ПРСР, Общата рамка за мониторинг и оценка и съобразно специфичните цели разписани в Стратегията. Индикатори по всяка една от мерките са посочени по-долу. Но индикаторите са на база цялостното изпълнение на СМР. </w:t>
      </w:r>
    </w:p>
    <w:p w:rsidR="00AB537E" w:rsidRDefault="00AB537E" w:rsidP="00AB537E">
      <w:pPr>
        <w:spacing w:after="120"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2161"/>
        <w:gridCol w:w="1082"/>
        <w:gridCol w:w="1620"/>
        <w:gridCol w:w="1440"/>
        <w:gridCol w:w="1497"/>
      </w:tblGrid>
      <w:tr w:rsidR="00AB537E" w:rsidTr="00AB537E"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ИНДИКАТОРИ ПО МЯРКА 121 ОТ СМР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Вид индикатор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Индикатор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Мерна единица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Цел до края на стратегията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Изпълнение до 31.12.201</w:t>
            </w:r>
            <w:r w:rsidR="005C340B">
              <w:rPr>
                <w:b/>
                <w:lang w:val="en-US"/>
              </w:rPr>
              <w:t>5</w:t>
            </w:r>
            <w:r>
              <w:rPr>
                <w:b/>
              </w:rPr>
              <w:t>г.</w:t>
            </w:r>
          </w:p>
          <w:p w:rsidR="00AB537E" w:rsidRDefault="00AB537E">
            <w:pPr>
              <w:spacing w:after="120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Източник на информация </w:t>
            </w:r>
          </w:p>
        </w:tc>
      </w:tr>
      <w:tr w:rsidR="00AB537E" w:rsidTr="00AB537E">
        <w:trPr>
          <w:trHeight w:val="343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Изходен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Брой проекти, финансирани по мярката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бенефициенти, подпомогнати по мярката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млади фермери, подкрепени по мярката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Общ обем на инвестициите (публичен принос + </w:t>
            </w:r>
            <w:proofErr w:type="spellStart"/>
            <w:r>
              <w:t>съфинансиране</w:t>
            </w:r>
            <w:proofErr w:type="spellEnd"/>
            <w: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хил.лв.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600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570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Брой, подпомогнати стопанства от животновъдния сектор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Дял на инвестициите, свързани с опазване на околната среда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Дял на инвестициите, свързани с постигане на съответствие със стандарти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rPr>
          <w:trHeight w:val="195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</w:pPr>
            <w:r>
              <w:rPr>
                <w:b/>
              </w:rPr>
              <w:t>Резултат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Модернизирани земеделски стопанства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rPr>
          <w:trHeight w:val="195"/>
        </w:trPr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Предприятия, въвели нови продукти, процеси и технологии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</w:tbl>
    <w:p w:rsidR="00AB537E" w:rsidRDefault="00AB537E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p w:rsidR="00C22D0B" w:rsidRDefault="00C22D0B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2161"/>
        <w:gridCol w:w="1082"/>
        <w:gridCol w:w="1440"/>
        <w:gridCol w:w="1620"/>
        <w:gridCol w:w="1497"/>
      </w:tblGrid>
      <w:tr w:rsidR="00AB537E" w:rsidTr="00AB537E"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ИНДИКАТОРИ ПО МЯРКА 123 ОТ СМР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Вид индикатор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Индикатор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Мерна единица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Цел до края на стратегията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Изпълнение до 31.12.201</w:t>
            </w:r>
            <w:r w:rsidR="005C340B">
              <w:rPr>
                <w:b/>
                <w:lang w:val="en-US"/>
              </w:rPr>
              <w:t>5</w:t>
            </w:r>
            <w:r>
              <w:rPr>
                <w:b/>
              </w:rPr>
              <w:t>г.</w:t>
            </w:r>
          </w:p>
          <w:p w:rsidR="00AB537E" w:rsidRDefault="00AB537E">
            <w:pPr>
              <w:spacing w:after="120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Източник на информация </w:t>
            </w:r>
          </w:p>
        </w:tc>
      </w:tr>
      <w:tr w:rsidR="00AB537E" w:rsidTr="00AB537E">
        <w:trPr>
          <w:trHeight w:val="343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Изходен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Брой проекти, финансирани по мярката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бенефициенти, подпомогнати по мярката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Общ обем на инвестициите (публичен принос + </w:t>
            </w:r>
            <w:proofErr w:type="spellStart"/>
            <w:r>
              <w:t>съфинансиране</w:t>
            </w:r>
            <w:proofErr w:type="spellEnd"/>
            <w: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хил.лв.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391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Дял на инвестициите, свързани с опазване на околната среда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95,25%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Дял на инвестициите, свързани с постигане на съответствие със стандарти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Резултат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Предприятия, въвели нови продукти, процеси и технологии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</w:tbl>
    <w:p w:rsidR="00AB537E" w:rsidRDefault="00AB537E" w:rsidP="00AB537E"/>
    <w:p w:rsidR="00AB537E" w:rsidRDefault="00AB537E" w:rsidP="00AB537E"/>
    <w:p w:rsidR="00AB537E" w:rsidRDefault="00AB537E" w:rsidP="00AB537E"/>
    <w:p w:rsidR="00AB537E" w:rsidRDefault="00AB537E" w:rsidP="00AB537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2161"/>
        <w:gridCol w:w="1082"/>
        <w:gridCol w:w="1440"/>
        <w:gridCol w:w="1260"/>
        <w:gridCol w:w="1857"/>
      </w:tblGrid>
      <w:tr w:rsidR="00AB537E" w:rsidTr="00AB537E"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ИНДИКАТОРИ ПО МЯРКА 311 ОТ СМР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Вид индикатор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Индикатор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Мерна единица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Цел до края на стратегията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Изпълнение до 31.12.201</w:t>
            </w:r>
            <w:r w:rsidR="005C340B">
              <w:rPr>
                <w:b/>
                <w:lang w:val="en-US"/>
              </w:rPr>
              <w:t>5</w:t>
            </w:r>
            <w:r>
              <w:rPr>
                <w:b/>
              </w:rPr>
              <w:t>г.</w:t>
            </w:r>
          </w:p>
          <w:p w:rsidR="00AB537E" w:rsidRDefault="00AB537E">
            <w:pPr>
              <w:spacing w:after="12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Източник на информация </w:t>
            </w:r>
          </w:p>
        </w:tc>
      </w:tr>
      <w:tr w:rsidR="00AB537E" w:rsidTr="00AB537E">
        <w:trPr>
          <w:trHeight w:val="343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Изходен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Брой проекти, финансирани по мярката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бенефициенти, подпомогнати по мярката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Общ обем на инвестициите (публичен принос + </w:t>
            </w:r>
            <w:proofErr w:type="spellStart"/>
            <w:r>
              <w:t>съфинансиране</w:t>
            </w:r>
            <w:proofErr w:type="spellEnd"/>
            <w: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хил.лв.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382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Резултат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Създадени работни места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</w:tbl>
    <w:p w:rsidR="00AB537E" w:rsidRDefault="00AB537E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p w:rsidR="00C22D0B" w:rsidRDefault="00C22D0B" w:rsidP="00AB537E">
      <w:pPr>
        <w:spacing w:after="120"/>
        <w:jc w:val="both"/>
      </w:pPr>
    </w:p>
    <w:p w:rsidR="009E3840" w:rsidRDefault="009E3840" w:rsidP="00AB537E">
      <w:pPr>
        <w:spacing w:after="120"/>
        <w:jc w:val="both"/>
      </w:pPr>
    </w:p>
    <w:p w:rsidR="009E3840" w:rsidRDefault="009E3840" w:rsidP="00AB537E">
      <w:pPr>
        <w:spacing w:after="120"/>
        <w:jc w:val="both"/>
      </w:pPr>
    </w:p>
    <w:p w:rsidR="009E3840" w:rsidRDefault="009E3840" w:rsidP="00AB537E">
      <w:pPr>
        <w:spacing w:after="120"/>
        <w:jc w:val="both"/>
      </w:pPr>
    </w:p>
    <w:p w:rsidR="00C22D0B" w:rsidRDefault="00C22D0B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2161"/>
        <w:gridCol w:w="1082"/>
        <w:gridCol w:w="1440"/>
        <w:gridCol w:w="1260"/>
        <w:gridCol w:w="1857"/>
      </w:tblGrid>
      <w:tr w:rsidR="00AB537E" w:rsidTr="00AB537E"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ИНДИКАТОРИ ПО МЯРКА 312 ОТ СМР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Вид индикатор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Индикатор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Мерна единица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Цел до края на стратегията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Изпълнение до 31.12.201</w:t>
            </w:r>
            <w:r w:rsidR="005C340B">
              <w:rPr>
                <w:b/>
                <w:lang w:val="en-US"/>
              </w:rPr>
              <w:t>5</w:t>
            </w:r>
            <w:r>
              <w:rPr>
                <w:b/>
              </w:rPr>
              <w:t>г.</w:t>
            </w:r>
          </w:p>
          <w:p w:rsidR="00AB537E" w:rsidRDefault="00AB537E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Източник на информация </w:t>
            </w:r>
          </w:p>
        </w:tc>
      </w:tr>
      <w:tr w:rsidR="00AB537E" w:rsidTr="00AB537E">
        <w:trPr>
          <w:trHeight w:val="343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Изходен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Брой проекти, финансирани по мярката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бенефициенти, подпомогнати по мярката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Общ обем на инвестициите (публичен принос + </w:t>
            </w:r>
            <w:proofErr w:type="spellStart"/>
            <w:r>
              <w:t>съфинансиране</w:t>
            </w:r>
            <w:proofErr w:type="spellEnd"/>
            <w: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хил.лв.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</w:pPr>
            <w:r>
              <w:t>Подпомогнати туристически дейности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</w:pPr>
            <w:r>
              <w:t>Общ обем на инвестициите в туризъм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Хил.лв.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</w:pPr>
            <w:r>
              <w:t xml:space="preserve">Подпомогнати/създадени </w:t>
            </w:r>
            <w:proofErr w:type="spellStart"/>
            <w:r>
              <w:t>микропредприятия</w:t>
            </w:r>
            <w:proofErr w:type="spellEnd"/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Резултат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Създадени работни места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Pr="00C86B6D" w:rsidRDefault="00C86B6D">
            <w:pPr>
              <w:spacing w:after="120"/>
              <w:jc w:val="both"/>
            </w:pPr>
            <w: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</w:tbl>
    <w:p w:rsidR="00AB537E" w:rsidRDefault="00AB537E" w:rsidP="00AB537E">
      <w:pPr>
        <w:spacing w:after="1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2161"/>
        <w:gridCol w:w="1082"/>
        <w:gridCol w:w="1440"/>
        <w:gridCol w:w="1260"/>
        <w:gridCol w:w="1857"/>
      </w:tblGrid>
      <w:tr w:rsidR="00AB537E" w:rsidTr="00AB537E"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ИНДИКАТОРИ ПО МЯРКА 321 ОТ СМР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Вид индикатор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Индикатор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Мерна единица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Цел до края на стратегията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Изпълнение до 31.12.201</w:t>
            </w:r>
            <w:r w:rsidR="005C340B">
              <w:rPr>
                <w:b/>
                <w:lang w:val="en-US"/>
              </w:rPr>
              <w:t>5</w:t>
            </w:r>
            <w:r>
              <w:rPr>
                <w:b/>
              </w:rPr>
              <w:t>г.</w:t>
            </w:r>
          </w:p>
          <w:p w:rsidR="00AB537E" w:rsidRDefault="00AB537E">
            <w:pPr>
              <w:spacing w:after="12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Източник на информация </w:t>
            </w:r>
          </w:p>
        </w:tc>
      </w:tr>
      <w:tr w:rsidR="00AB537E" w:rsidTr="00AB537E">
        <w:trPr>
          <w:trHeight w:val="343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Изходен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Брой проекти, финансирани по мярката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Общ обем на инвестициите (публичен принос + </w:t>
            </w:r>
            <w:proofErr w:type="spellStart"/>
            <w:r>
              <w:t>съфинансиране</w:t>
            </w:r>
            <w:proofErr w:type="spellEnd"/>
            <w: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хил.лв.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1148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Резултат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Население което се ползва от подобрените услуги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6000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rPr>
                <w:bCs/>
                <w:color w:val="000000"/>
              </w:rPr>
              <w:t>15 181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изградени/обновени сгради и съоръжения свързани с услуги за предоставяне на културни услуги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изградени/обновени сгради/съоръжения за услуги,  свързани със отдиха и спорта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изградени/обновени сгради и съоръжения за предоставяне на социални услуги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</w:tbl>
    <w:p w:rsidR="00AB537E" w:rsidRDefault="00AB537E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p w:rsidR="00AB537E" w:rsidRDefault="00AB537E" w:rsidP="00AB537E">
      <w:pPr>
        <w:spacing w:after="1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2161"/>
        <w:gridCol w:w="1082"/>
        <w:gridCol w:w="1440"/>
        <w:gridCol w:w="1260"/>
        <w:gridCol w:w="1857"/>
      </w:tblGrid>
      <w:tr w:rsidR="00AB537E" w:rsidTr="00AB537E"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ИНДИКАТОРИ ПО МЯРКА 322 ОТ СМР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Вид индикатор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Индикатор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Мерна единица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Цел до края на стратегията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widowControl/>
              <w:autoSpaceDE/>
              <w:adjustRightInd/>
              <w:rPr>
                <w:b/>
              </w:rPr>
            </w:pPr>
            <w:r>
              <w:rPr>
                <w:b/>
              </w:rPr>
              <w:t>Изпълнение до 31.12.201</w:t>
            </w:r>
            <w:r w:rsidR="005C340B">
              <w:rPr>
                <w:b/>
                <w:lang w:val="en-US"/>
              </w:rPr>
              <w:t>5</w:t>
            </w:r>
          </w:p>
          <w:p w:rsidR="00AB537E" w:rsidRDefault="00AB537E">
            <w:pPr>
              <w:widowControl/>
              <w:autoSpaceDE/>
              <w:adjustRightInd/>
              <w:rPr>
                <w:b/>
              </w:rPr>
            </w:pPr>
          </w:p>
          <w:p w:rsidR="00AB537E" w:rsidRDefault="00AB537E">
            <w:pPr>
              <w:spacing w:after="12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Източник на информация </w:t>
            </w:r>
          </w:p>
        </w:tc>
      </w:tr>
      <w:tr w:rsidR="00AB537E" w:rsidTr="00AB537E">
        <w:trPr>
          <w:trHeight w:val="343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Изходен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 xml:space="preserve">Брой проекти, финансирани по мярката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Общ обем на инвестициите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хил.лв.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575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 на населените места, където се изпълняват дейностите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  <w:rPr>
                <w:lang w:val="ru-RU"/>
              </w:rPr>
            </w:pPr>
            <w:r>
              <w:t>База данни и отчети на МИГ</w:t>
            </w:r>
          </w:p>
        </w:tc>
      </w:tr>
      <w:tr w:rsidR="00AB537E" w:rsidTr="00AB537E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7E" w:rsidRDefault="00AB537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Резултат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Население, което се ползва от подобрената среда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брой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7E" w:rsidRDefault="00AB537E">
            <w:pPr>
              <w:spacing w:after="120"/>
              <w:jc w:val="both"/>
            </w:pPr>
            <w:r>
              <w:t>6000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rPr>
                <w:bCs/>
                <w:color w:val="000000"/>
              </w:rPr>
              <w:t>15 181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E" w:rsidRDefault="00AB537E">
            <w:pPr>
              <w:spacing w:after="120"/>
              <w:jc w:val="both"/>
            </w:pPr>
            <w:r>
              <w:t>База данни и отчети на МИГ</w:t>
            </w:r>
          </w:p>
        </w:tc>
      </w:tr>
    </w:tbl>
    <w:p w:rsidR="00AB537E" w:rsidRPr="00AB537E" w:rsidRDefault="00AB537E" w:rsidP="00AB537E">
      <w:pPr>
        <w:spacing w:before="427"/>
        <w:ind w:left="336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7. Проблеми</w:t>
      </w:r>
    </w:p>
    <w:p w:rsidR="00AB537E" w:rsidRDefault="00AB537E" w:rsidP="00AB537E">
      <w:pPr>
        <w:spacing w:before="427"/>
        <w:ind w:left="336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</w:t>
      </w:r>
      <w:r>
        <w:rPr>
          <w:bCs/>
          <w:color w:val="000000"/>
          <w:sz w:val="24"/>
          <w:szCs w:val="24"/>
        </w:rPr>
        <w:t>В процеса на администриране на Стратегията възникнаха проблеми от различно естество:</w:t>
      </w:r>
    </w:p>
    <w:p w:rsidR="00AB537E" w:rsidRDefault="00AB537E" w:rsidP="00AB537E">
      <w:pPr>
        <w:spacing w:before="427"/>
        <w:ind w:left="33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Големият период от подаването на </w:t>
      </w:r>
      <w:r>
        <w:rPr>
          <w:bCs/>
          <w:i/>
          <w:color w:val="000000"/>
          <w:sz w:val="24"/>
          <w:szCs w:val="24"/>
        </w:rPr>
        <w:t xml:space="preserve">доклад за извършените дейности </w:t>
      </w:r>
      <w:r>
        <w:rPr>
          <w:bCs/>
          <w:color w:val="000000"/>
          <w:sz w:val="24"/>
          <w:szCs w:val="24"/>
        </w:rPr>
        <w:t>до възстановяването на отчетените разходи за 201</w:t>
      </w:r>
      <w:r w:rsidR="00417D12">
        <w:rPr>
          <w:bCs/>
          <w:color w:val="000000"/>
          <w:sz w:val="24"/>
          <w:szCs w:val="24"/>
          <w:lang w:val="ru-RU"/>
        </w:rPr>
        <w:t>4</w:t>
      </w:r>
      <w:r>
        <w:rPr>
          <w:bCs/>
          <w:color w:val="000000"/>
          <w:sz w:val="24"/>
          <w:szCs w:val="24"/>
        </w:rPr>
        <w:t xml:space="preserve">г. доведе до затруднения при работата на екипа. За да се изпълняват дейностите по бюджета се наложи предприемане на извънредни действия  за осигуряване на финанси- търсене на заеми от Община Кнежа. </w:t>
      </w:r>
    </w:p>
    <w:p w:rsidR="00AB537E" w:rsidRPr="00AB537E" w:rsidRDefault="00BA5281" w:rsidP="00AB537E">
      <w:pPr>
        <w:spacing w:before="427"/>
        <w:ind w:left="336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bCs/>
          <w:color w:val="000000"/>
          <w:sz w:val="24"/>
          <w:szCs w:val="24"/>
          <w:lang w:val="ru-RU"/>
        </w:rPr>
        <w:t>Непрекъснати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ru-RU"/>
        </w:rPr>
        <w:t>промени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в </w:t>
      </w:r>
      <w:proofErr w:type="spellStart"/>
      <w:r>
        <w:rPr>
          <w:bCs/>
          <w:color w:val="000000"/>
          <w:sz w:val="24"/>
          <w:szCs w:val="24"/>
          <w:lang w:val="ru-RU"/>
        </w:rPr>
        <w:t>законовата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ru-RU"/>
        </w:rPr>
        <w:t>уредба</w:t>
      </w:r>
      <w:proofErr w:type="spellEnd"/>
      <w:r w:rsidR="002310A6">
        <w:rPr>
          <w:bCs/>
          <w:color w:val="000000"/>
          <w:sz w:val="24"/>
          <w:szCs w:val="24"/>
          <w:lang w:val="ru-RU"/>
        </w:rPr>
        <w:t>.</w:t>
      </w:r>
    </w:p>
    <w:p w:rsidR="00AB537E" w:rsidRDefault="00AB537E" w:rsidP="00AB537E">
      <w:pPr>
        <w:shd w:val="clear" w:color="auto" w:fill="FFFFFF"/>
        <w:spacing w:before="211" w:line="360" w:lineRule="auto"/>
        <w:ind w:left="10" w:right="48" w:firstLine="66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Информиране.</w:t>
      </w:r>
    </w:p>
    <w:p w:rsidR="00AB537E" w:rsidRDefault="00AB537E" w:rsidP="00AB537E">
      <w:pPr>
        <w:shd w:val="clear" w:color="auto" w:fill="FFFFFF"/>
        <w:spacing w:before="182" w:line="360" w:lineRule="auto"/>
        <w:ind w:right="461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За популяризиране, информиране и публичност на дейностите по СМР през периода са извършени следните дейности:</w:t>
      </w:r>
    </w:p>
    <w:p w:rsidR="00AB537E" w:rsidRDefault="00AB537E" w:rsidP="00AB537E">
      <w:pPr>
        <w:shd w:val="clear" w:color="auto" w:fill="FFFFFF"/>
        <w:tabs>
          <w:tab w:val="left" w:pos="1248"/>
        </w:tabs>
        <w:spacing w:line="360" w:lineRule="auto"/>
        <w:ind w:firstLine="101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актуализира се интернет - страницата на МИГ.</w:t>
      </w:r>
      <w:r>
        <w:rPr>
          <w:color w:val="000000"/>
          <w:sz w:val="24"/>
          <w:szCs w:val="24"/>
        </w:rPr>
        <w:t xml:space="preserve"> За да се отрази и</w:t>
      </w:r>
      <w:r>
        <w:rPr>
          <w:color w:val="000000"/>
          <w:sz w:val="24"/>
          <w:szCs w:val="24"/>
        </w:rPr>
        <w:br/>
        <w:t>популяризира актуалното състояние на Сдружение МИГ-Кнежа се наложи</w:t>
      </w:r>
      <w:r>
        <w:rPr>
          <w:color w:val="000000"/>
          <w:sz w:val="24"/>
          <w:szCs w:val="24"/>
        </w:rPr>
        <w:br/>
        <w:t xml:space="preserve">осъвременяване на съдържанието на интернет страницата </w:t>
      </w:r>
      <w:r>
        <w:rPr>
          <w:color w:val="000000"/>
          <w:sz w:val="24"/>
          <w:szCs w:val="24"/>
          <w:lang w:val="en-US"/>
        </w:rPr>
        <w:t>www</w:t>
      </w:r>
      <w:r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knezha</w:t>
      </w:r>
      <w:proofErr w:type="spellEnd"/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en-US"/>
        </w:rPr>
        <w:t>leader</w:t>
      </w:r>
      <w:r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en-US"/>
        </w:rPr>
        <w:t>com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lastRenderedPageBreak/>
        <w:t>Беше подготвена, обработена и представена актуална информация, публикуваха се снимки, отразени бяха текущите събития, касаещи дейността на Сдружението през</w:t>
      </w:r>
      <w:r>
        <w:rPr>
          <w:color w:val="000000"/>
          <w:sz w:val="24"/>
          <w:szCs w:val="24"/>
        </w:rPr>
        <w:br/>
        <w:t xml:space="preserve">периода от </w:t>
      </w:r>
      <w:r>
        <w:rPr>
          <w:color w:val="000000"/>
          <w:sz w:val="24"/>
          <w:szCs w:val="24"/>
          <w:lang w:val="ru-RU"/>
        </w:rPr>
        <w:t>01</w:t>
      </w:r>
      <w:r>
        <w:rPr>
          <w:color w:val="000000"/>
          <w:sz w:val="24"/>
          <w:szCs w:val="24"/>
        </w:rPr>
        <w:t xml:space="preserve"> януари  201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г. до 31 декември 201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 xml:space="preserve">. </w:t>
      </w:r>
    </w:p>
    <w:p w:rsidR="00AB537E" w:rsidRDefault="00AB537E" w:rsidP="00AB537E">
      <w:pPr>
        <w:shd w:val="clear" w:color="auto" w:fill="FFFFFF"/>
        <w:tabs>
          <w:tab w:val="left" w:pos="1080"/>
        </w:tabs>
        <w:spacing w:before="72" w:line="360" w:lineRule="auto"/>
        <w:ind w:right="-108" w:firstLine="10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 w:rsidR="005E3150">
        <w:rPr>
          <w:color w:val="000000"/>
          <w:sz w:val="24"/>
          <w:szCs w:val="24"/>
        </w:rPr>
        <w:t xml:space="preserve">Публикация във вестник „ </w:t>
      </w:r>
      <w:proofErr w:type="spellStart"/>
      <w:r w:rsidR="005E3150">
        <w:rPr>
          <w:color w:val="000000"/>
          <w:sz w:val="24"/>
          <w:szCs w:val="24"/>
        </w:rPr>
        <w:t>Зетра</w:t>
      </w:r>
      <w:proofErr w:type="spellEnd"/>
      <w:r w:rsidR="005E3150">
        <w:rPr>
          <w:color w:val="000000"/>
          <w:sz w:val="24"/>
          <w:szCs w:val="24"/>
        </w:rPr>
        <w:t>” , бр. 57 от 27 юли 2015г.</w:t>
      </w:r>
      <w:r w:rsidR="00C60F99">
        <w:rPr>
          <w:color w:val="000000"/>
          <w:sz w:val="24"/>
          <w:szCs w:val="24"/>
        </w:rPr>
        <w:t xml:space="preserve"> относно откриване на изпълнени проекти към Местна инициативна група Кнежа.</w:t>
      </w:r>
    </w:p>
    <w:p w:rsidR="00AB537E" w:rsidRDefault="00AB537E" w:rsidP="00AB537E">
      <w:pPr>
        <w:numPr>
          <w:ilvl w:val="0"/>
          <w:numId w:val="10"/>
        </w:numPr>
        <w:tabs>
          <w:tab w:val="left" w:pos="1080"/>
        </w:tabs>
        <w:spacing w:before="72" w:line="360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„Плевен за Плевен” от </w:t>
      </w:r>
      <w:r w:rsidR="008A736E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>.</w:t>
      </w:r>
      <w:r w:rsidR="008A736E">
        <w:rPr>
          <w:color w:val="000000"/>
          <w:sz w:val="24"/>
          <w:szCs w:val="24"/>
        </w:rPr>
        <w:t xml:space="preserve"> 03. 2015г.</w:t>
      </w:r>
      <w:r>
        <w:rPr>
          <w:color w:val="000000"/>
          <w:sz w:val="24"/>
          <w:szCs w:val="24"/>
        </w:rPr>
        <w:t xml:space="preserve"> е публикувана информация относно </w:t>
      </w:r>
      <w:r w:rsidR="008A736E">
        <w:rPr>
          <w:color w:val="000000"/>
          <w:sz w:val="24"/>
          <w:szCs w:val="24"/>
        </w:rPr>
        <w:t>о</w:t>
      </w:r>
      <w:r w:rsidR="009C1948">
        <w:rPr>
          <w:color w:val="000000"/>
          <w:sz w:val="24"/>
          <w:szCs w:val="24"/>
        </w:rPr>
        <w:t>рганизиране и провеждане на пресконференция в БТА- Плевен за приключване на Стратегията за местно развитие на МИГ- Кнежа.</w:t>
      </w:r>
      <w:r w:rsidR="00EC4C75">
        <w:rPr>
          <w:color w:val="000000"/>
          <w:sz w:val="24"/>
          <w:szCs w:val="24"/>
        </w:rPr>
        <w:t xml:space="preserve"> Същата информация е отразена и в „</w:t>
      </w:r>
      <w:proofErr w:type="spellStart"/>
      <w:r w:rsidR="00EC4C75">
        <w:rPr>
          <w:color w:val="000000"/>
          <w:sz w:val="24"/>
          <w:szCs w:val="24"/>
        </w:rPr>
        <w:t>Зетра</w:t>
      </w:r>
      <w:proofErr w:type="spellEnd"/>
      <w:r w:rsidR="00EC4C75">
        <w:rPr>
          <w:color w:val="000000"/>
          <w:sz w:val="24"/>
          <w:szCs w:val="24"/>
        </w:rPr>
        <w:t xml:space="preserve">”, </w:t>
      </w:r>
      <w:r w:rsidR="00EC4C75">
        <w:rPr>
          <w:color w:val="000000"/>
          <w:sz w:val="24"/>
          <w:szCs w:val="24"/>
          <w:lang w:val="en-US"/>
        </w:rPr>
        <w:t>info</w:t>
      </w:r>
      <w:r w:rsidR="00EC4C75" w:rsidRPr="00EC4C75">
        <w:rPr>
          <w:color w:val="000000"/>
          <w:sz w:val="24"/>
          <w:szCs w:val="24"/>
          <w:lang w:val="ru-RU"/>
        </w:rPr>
        <w:t xml:space="preserve"> </w:t>
      </w:r>
      <w:r w:rsidR="00EC4C75">
        <w:rPr>
          <w:color w:val="000000"/>
          <w:sz w:val="24"/>
          <w:szCs w:val="24"/>
          <w:lang w:val="en-US"/>
        </w:rPr>
        <w:t>Pleven</w:t>
      </w:r>
      <w:r w:rsidR="00EC4C75">
        <w:rPr>
          <w:color w:val="000000"/>
          <w:sz w:val="24"/>
          <w:szCs w:val="24"/>
        </w:rPr>
        <w:t xml:space="preserve">, </w:t>
      </w:r>
      <w:r w:rsidR="00EC4C75">
        <w:rPr>
          <w:color w:val="000000"/>
          <w:sz w:val="24"/>
          <w:szCs w:val="24"/>
          <w:lang w:val="en-US"/>
        </w:rPr>
        <w:t>BG</w:t>
      </w:r>
      <w:r w:rsidR="00EC4C75" w:rsidRPr="00EC4C75">
        <w:rPr>
          <w:color w:val="000000"/>
          <w:sz w:val="24"/>
          <w:szCs w:val="24"/>
          <w:lang w:val="ru-RU"/>
        </w:rPr>
        <w:t xml:space="preserve"> </w:t>
      </w:r>
      <w:r w:rsidR="00EC4C75">
        <w:rPr>
          <w:color w:val="000000"/>
          <w:sz w:val="24"/>
          <w:szCs w:val="24"/>
        </w:rPr>
        <w:t>Север</w:t>
      </w:r>
      <w:r w:rsidR="00556B9C">
        <w:rPr>
          <w:color w:val="000000"/>
          <w:sz w:val="24"/>
          <w:szCs w:val="24"/>
        </w:rPr>
        <w:t xml:space="preserve"> и т.н.</w:t>
      </w:r>
    </w:p>
    <w:p w:rsidR="00AB537E" w:rsidRDefault="00AB537E" w:rsidP="00AB537E">
      <w:pPr>
        <w:shd w:val="clear" w:color="auto" w:fill="FFFFFF"/>
        <w:tabs>
          <w:tab w:val="left" w:pos="1080"/>
        </w:tabs>
        <w:spacing w:before="72" w:line="360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в)   за популяризиране дейността на МИГ </w:t>
      </w:r>
      <w:r w:rsidR="0009118B">
        <w:rPr>
          <w:color w:val="000000"/>
          <w:sz w:val="24"/>
          <w:szCs w:val="24"/>
        </w:rPr>
        <w:t xml:space="preserve">е организирана и проведена на 25.02.2015г. Пресконференция в БТА- Плевен за представяне </w:t>
      </w:r>
      <w:r w:rsidR="00586566">
        <w:rPr>
          <w:color w:val="000000"/>
          <w:sz w:val="24"/>
          <w:szCs w:val="24"/>
        </w:rPr>
        <w:t xml:space="preserve">на </w:t>
      </w:r>
      <w:proofErr w:type="spellStart"/>
      <w:r w:rsidR="00586566">
        <w:rPr>
          <w:color w:val="000000"/>
          <w:sz w:val="24"/>
          <w:szCs w:val="24"/>
        </w:rPr>
        <w:t>постигнаните</w:t>
      </w:r>
      <w:proofErr w:type="spellEnd"/>
      <w:r w:rsidR="00586566">
        <w:rPr>
          <w:color w:val="000000"/>
          <w:sz w:val="24"/>
          <w:szCs w:val="24"/>
        </w:rPr>
        <w:t xml:space="preserve"> резултати, относно приключване на Стратегия за местно развитие на МИГ- Кнежа. На нея бяха поканени и присъстваха всички представители на медиите в Плевен- радио, телевизия, вестници и онлайн издания, общо 12 бр.</w:t>
      </w:r>
      <w:r w:rsidR="002205D2">
        <w:rPr>
          <w:color w:val="000000"/>
          <w:sz w:val="24"/>
          <w:szCs w:val="24"/>
        </w:rPr>
        <w:t xml:space="preserve"> Пресконференцията се проведе в присъствие на г-н Симеон </w:t>
      </w:r>
      <w:proofErr w:type="spellStart"/>
      <w:r w:rsidR="002205D2">
        <w:rPr>
          <w:color w:val="000000"/>
          <w:sz w:val="24"/>
          <w:szCs w:val="24"/>
        </w:rPr>
        <w:t>Шарабански</w:t>
      </w:r>
      <w:proofErr w:type="spellEnd"/>
      <w:r w:rsidR="002205D2">
        <w:rPr>
          <w:color w:val="000000"/>
          <w:sz w:val="24"/>
          <w:szCs w:val="24"/>
        </w:rPr>
        <w:t xml:space="preserve">- Кмет на Община Кнежа, г- жа Милена Горанова- Председател на УС на МИГ- Кнежа и г-н Иван Христов- </w:t>
      </w:r>
      <w:proofErr w:type="spellStart"/>
      <w:r w:rsidR="002205D2">
        <w:rPr>
          <w:color w:val="000000"/>
          <w:sz w:val="24"/>
          <w:szCs w:val="24"/>
        </w:rPr>
        <w:t>Изп</w:t>
      </w:r>
      <w:proofErr w:type="spellEnd"/>
      <w:r w:rsidR="002205D2">
        <w:rPr>
          <w:color w:val="000000"/>
          <w:sz w:val="24"/>
          <w:szCs w:val="24"/>
        </w:rPr>
        <w:t>. директор на МИГ- Кнежа.</w:t>
      </w:r>
      <w:r w:rsidR="00592C2E">
        <w:rPr>
          <w:color w:val="000000"/>
          <w:sz w:val="24"/>
          <w:szCs w:val="24"/>
        </w:rPr>
        <w:t xml:space="preserve"> Събитието бе излъчено цялото директно на сайта на БТА- Плевен, като цялостния материал за него е налично и към настоящия момент.</w:t>
      </w:r>
      <w:r w:rsidR="00050AF5">
        <w:rPr>
          <w:color w:val="000000"/>
          <w:sz w:val="24"/>
          <w:szCs w:val="24"/>
        </w:rPr>
        <w:t xml:space="preserve"> Отразено е и по всички медии, присъствали на </w:t>
      </w:r>
      <w:r w:rsidR="00A6567F">
        <w:rPr>
          <w:color w:val="000000"/>
          <w:sz w:val="24"/>
          <w:szCs w:val="24"/>
        </w:rPr>
        <w:t>събитието.</w:t>
      </w:r>
    </w:p>
    <w:p w:rsidR="00A6567F" w:rsidRDefault="00A6567F" w:rsidP="00AB537E">
      <w:pPr>
        <w:shd w:val="clear" w:color="auto" w:fill="FFFFFF"/>
        <w:tabs>
          <w:tab w:val="left" w:pos="1080"/>
        </w:tabs>
        <w:spacing w:before="72" w:line="360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Изработени са 1500 бр. </w:t>
      </w:r>
      <w:r w:rsidR="00DE3980">
        <w:rPr>
          <w:color w:val="000000"/>
          <w:sz w:val="24"/>
          <w:szCs w:val="24"/>
        </w:rPr>
        <w:t>рекламни материали- тениски, чанти, химикалки и др. с цел реклама на МИГ и подхода Лидер.</w:t>
      </w:r>
    </w:p>
    <w:p w:rsidR="00DE3980" w:rsidRDefault="00DE3980" w:rsidP="00AB537E">
      <w:pPr>
        <w:shd w:val="clear" w:color="auto" w:fill="FFFFFF"/>
        <w:tabs>
          <w:tab w:val="left" w:pos="1080"/>
        </w:tabs>
        <w:spacing w:before="72" w:line="360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C252E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</w:t>
      </w:r>
      <w:r w:rsidR="001721A7">
        <w:rPr>
          <w:color w:val="000000"/>
          <w:sz w:val="24"/>
          <w:szCs w:val="24"/>
        </w:rPr>
        <w:t xml:space="preserve">Във връзка с изпълнение на Договор от 18.02.2015г за осигуряване на популяризиране, информираност и публичност е организирано и проведено едно изнесено двудневно </w:t>
      </w:r>
      <w:r w:rsidR="004D7850">
        <w:rPr>
          <w:color w:val="000000"/>
          <w:sz w:val="24"/>
          <w:szCs w:val="24"/>
        </w:rPr>
        <w:t xml:space="preserve">обучение, на тема: </w:t>
      </w:r>
    </w:p>
    <w:p w:rsidR="004D7850" w:rsidRDefault="004D7850" w:rsidP="00AB537E">
      <w:pPr>
        <w:shd w:val="clear" w:color="auto" w:fill="FFFFFF"/>
        <w:tabs>
          <w:tab w:val="left" w:pos="1080"/>
        </w:tabs>
        <w:spacing w:before="72" w:line="360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C252E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Информационна среща на тема: „ Финансиране на земеделски производители от МИГ- Кнежа- алтернатива да останем и живеем в родния край”- 24- 25.04.2015г.</w:t>
      </w:r>
    </w:p>
    <w:p w:rsidR="00612642" w:rsidRDefault="002C252E" w:rsidP="00AB537E">
      <w:pPr>
        <w:shd w:val="clear" w:color="auto" w:fill="FFFFFF"/>
        <w:tabs>
          <w:tab w:val="left" w:pos="1080"/>
        </w:tabs>
        <w:spacing w:before="72" w:line="360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522D1E">
        <w:rPr>
          <w:color w:val="000000"/>
          <w:sz w:val="24"/>
          <w:szCs w:val="24"/>
        </w:rPr>
        <w:t xml:space="preserve">Срещата бе предназначена за 30 абитуриенти от ПГЗ „ Стефан Цанов” , гр. Кнежа с цел повишаване квалификацията и професионализма им, като основната му </w:t>
      </w:r>
      <w:r w:rsidR="0097297F">
        <w:rPr>
          <w:color w:val="000000"/>
          <w:sz w:val="24"/>
          <w:szCs w:val="24"/>
        </w:rPr>
        <w:t xml:space="preserve">цел е курсистите да усъвършенстват знанията и уменията си за финансиране на проектни </w:t>
      </w:r>
      <w:r w:rsidR="00E57145">
        <w:rPr>
          <w:color w:val="000000"/>
          <w:sz w:val="24"/>
          <w:szCs w:val="24"/>
        </w:rPr>
        <w:t xml:space="preserve">предложения по ПРСР и подготовка на проектни предложения за финансиране от оперативни </w:t>
      </w:r>
      <w:r w:rsidR="00EF5C6B">
        <w:rPr>
          <w:color w:val="000000"/>
          <w:sz w:val="24"/>
          <w:szCs w:val="24"/>
        </w:rPr>
        <w:t>програми</w:t>
      </w:r>
      <w:r w:rsidR="00C902E4">
        <w:rPr>
          <w:color w:val="000000"/>
          <w:sz w:val="24"/>
          <w:szCs w:val="24"/>
        </w:rPr>
        <w:t xml:space="preserve">, което да допринесе до оставане на младите хора в местната общност, повишаване на предприемаческия дух и подготовка </w:t>
      </w:r>
      <w:r w:rsidR="002D7921">
        <w:rPr>
          <w:color w:val="000000"/>
          <w:sz w:val="24"/>
          <w:szCs w:val="24"/>
        </w:rPr>
        <w:t>за изготвяне на качествени проектни предложения за финансиране.</w:t>
      </w:r>
    </w:p>
    <w:p w:rsidR="004D7850" w:rsidRDefault="00935A21" w:rsidP="00AB537E">
      <w:pPr>
        <w:shd w:val="clear" w:color="auto" w:fill="FFFFFF"/>
        <w:tabs>
          <w:tab w:val="left" w:pos="1080"/>
        </w:tabs>
        <w:spacing w:before="72" w:line="360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Организиран и проведен бе семинар на 26 и 27.05.2015г. за представяне на постигнатите резултати и представяне на добри практики, относно приключване на Стратегия за местно развитие.</w:t>
      </w:r>
      <w:r w:rsidR="004D7850">
        <w:rPr>
          <w:color w:val="000000"/>
          <w:sz w:val="24"/>
          <w:szCs w:val="24"/>
        </w:rPr>
        <w:t xml:space="preserve">   </w:t>
      </w:r>
    </w:p>
    <w:p w:rsidR="00556B9C" w:rsidRDefault="00AB537E" w:rsidP="00AB537E">
      <w:pPr>
        <w:shd w:val="clear" w:color="auto" w:fill="FFFFFF"/>
        <w:tabs>
          <w:tab w:val="left" w:pos="1248"/>
        </w:tabs>
        <w:spacing w:before="77" w:line="360" w:lineRule="auto"/>
        <w:ind w:firstLine="10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>
        <w:rPr>
          <w:color w:val="000000"/>
          <w:sz w:val="24"/>
          <w:szCs w:val="24"/>
        </w:rPr>
        <w:tab/>
        <w:t xml:space="preserve">за обявяване на дейности по проекта бяха изготвени и </w:t>
      </w:r>
      <w:proofErr w:type="spellStart"/>
      <w:r>
        <w:rPr>
          <w:color w:val="000000"/>
          <w:sz w:val="24"/>
          <w:szCs w:val="24"/>
        </w:rPr>
        <w:t>неколкократно</w:t>
      </w:r>
      <w:proofErr w:type="spellEnd"/>
      <w:r>
        <w:rPr>
          <w:color w:val="000000"/>
          <w:sz w:val="24"/>
          <w:szCs w:val="24"/>
        </w:rPr>
        <w:t xml:space="preserve"> бяха </w:t>
      </w:r>
      <w:r w:rsidR="00556B9C">
        <w:rPr>
          <w:b/>
          <w:bCs/>
          <w:color w:val="000000"/>
          <w:sz w:val="24"/>
          <w:szCs w:val="24"/>
        </w:rPr>
        <w:t xml:space="preserve">излъчени </w:t>
      </w:r>
      <w:r>
        <w:rPr>
          <w:b/>
          <w:bCs/>
          <w:color w:val="000000"/>
          <w:sz w:val="24"/>
          <w:szCs w:val="24"/>
        </w:rPr>
        <w:t xml:space="preserve"> обявления (съобщения) в ефира на радио </w:t>
      </w:r>
      <w:r>
        <w:rPr>
          <w:color w:val="000000"/>
          <w:sz w:val="24"/>
          <w:szCs w:val="24"/>
        </w:rPr>
        <w:t>„Кнежа</w:t>
      </w:r>
    </w:p>
    <w:p w:rsidR="00AB537E" w:rsidRDefault="00AB537E" w:rsidP="00AB537E">
      <w:pPr>
        <w:shd w:val="clear" w:color="auto" w:fill="FFFFFF"/>
        <w:tabs>
          <w:tab w:val="left" w:pos="1248"/>
        </w:tabs>
        <w:spacing w:before="77" w:line="360" w:lineRule="auto"/>
        <w:ind w:firstLine="10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 </w:t>
      </w:r>
      <w:r w:rsidR="00862300">
        <w:rPr>
          <w:color w:val="000000"/>
          <w:sz w:val="24"/>
          <w:szCs w:val="24"/>
        </w:rPr>
        <w:t>Изработване и излъчване на 3 бр. десет</w:t>
      </w:r>
      <w:r w:rsidR="00AA57AD">
        <w:rPr>
          <w:color w:val="000000"/>
          <w:sz w:val="24"/>
          <w:szCs w:val="24"/>
        </w:rPr>
        <w:t>минутни филма с превод на английски език, за изпълнение на Стратегията за местно развитие и значението на МИГ и подхода ЛИДЕР</w:t>
      </w:r>
      <w:r w:rsidR="004D55AF">
        <w:rPr>
          <w:color w:val="000000"/>
          <w:sz w:val="24"/>
          <w:szCs w:val="24"/>
        </w:rPr>
        <w:t>.</w:t>
      </w:r>
    </w:p>
    <w:p w:rsidR="004D55AF" w:rsidRDefault="004D55AF" w:rsidP="00AB537E">
      <w:pPr>
        <w:shd w:val="clear" w:color="auto" w:fill="FFFFFF"/>
        <w:tabs>
          <w:tab w:val="left" w:pos="1248"/>
        </w:tabs>
        <w:spacing w:before="77" w:line="360" w:lineRule="auto"/>
        <w:ind w:firstLine="10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Екипи на телевизия „ </w:t>
      </w:r>
      <w:proofErr w:type="spellStart"/>
      <w:r>
        <w:rPr>
          <w:color w:val="000000"/>
          <w:sz w:val="24"/>
          <w:szCs w:val="24"/>
        </w:rPr>
        <w:t>Зетра</w:t>
      </w:r>
      <w:proofErr w:type="spellEnd"/>
      <w:r>
        <w:rPr>
          <w:color w:val="000000"/>
          <w:sz w:val="24"/>
          <w:szCs w:val="24"/>
        </w:rPr>
        <w:t xml:space="preserve"> ТВ” посетиха град Кнежа и населените места Лазарово и Бреница, като заснеха обекти, реализирани по Стратегията за местно развитие</w:t>
      </w:r>
      <w:r w:rsidR="00511DB1">
        <w:rPr>
          <w:color w:val="000000"/>
          <w:sz w:val="24"/>
          <w:szCs w:val="24"/>
        </w:rPr>
        <w:t xml:space="preserve"> на МИГ- Кнежа . Заснети бяха интервюта с хора, пряко ангажирани с изработката и изпълнението на </w:t>
      </w:r>
      <w:r w:rsidR="00C32F8B">
        <w:rPr>
          <w:color w:val="000000"/>
          <w:sz w:val="24"/>
          <w:szCs w:val="24"/>
        </w:rPr>
        <w:t>СМР, така и с представители на местната общност и с граждани на Кнежа е селата Лазарово и Бреница, които да дадат независима оценка на новите придобивки</w:t>
      </w:r>
      <w:r w:rsidR="00173A59">
        <w:rPr>
          <w:color w:val="000000"/>
          <w:sz w:val="24"/>
          <w:szCs w:val="24"/>
        </w:rPr>
        <w:t>. Монтирани бяха три документални телевизионни филми със субтитри на английски език</w:t>
      </w:r>
      <w:r w:rsidR="001F335B">
        <w:rPr>
          <w:color w:val="000000"/>
          <w:sz w:val="24"/>
          <w:szCs w:val="24"/>
        </w:rPr>
        <w:t xml:space="preserve">, както следва: </w:t>
      </w:r>
    </w:p>
    <w:p w:rsidR="001F335B" w:rsidRDefault="001F335B" w:rsidP="00AB537E">
      <w:pPr>
        <w:shd w:val="clear" w:color="auto" w:fill="FFFFFF"/>
        <w:tabs>
          <w:tab w:val="left" w:pos="1248"/>
        </w:tabs>
        <w:spacing w:before="77" w:line="360" w:lineRule="auto"/>
        <w:ind w:firstLine="10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Фи</w:t>
      </w:r>
      <w:r w:rsidR="00FA2057">
        <w:rPr>
          <w:color w:val="000000"/>
          <w:sz w:val="24"/>
          <w:szCs w:val="24"/>
        </w:rPr>
        <w:t xml:space="preserve">лм 1: Представя добрите практики и обектите, финансирани по Мярка 321 на ПРСР- „ Основни услуги за икономиката и населението в селските райони”, както и значението на тези обекти за местната общност. </w:t>
      </w:r>
      <w:r w:rsidR="003B1335">
        <w:rPr>
          <w:color w:val="000000"/>
          <w:sz w:val="24"/>
          <w:szCs w:val="24"/>
        </w:rPr>
        <w:t xml:space="preserve">Представени са новата автоматична поливна система в централния парк в Кнежа, </w:t>
      </w:r>
      <w:proofErr w:type="spellStart"/>
      <w:r w:rsidR="003B1335">
        <w:rPr>
          <w:color w:val="000000"/>
          <w:sz w:val="24"/>
          <w:szCs w:val="24"/>
        </w:rPr>
        <w:t>реновираната</w:t>
      </w:r>
      <w:proofErr w:type="spellEnd"/>
      <w:r w:rsidR="003B1335">
        <w:rPr>
          <w:color w:val="000000"/>
          <w:sz w:val="24"/>
          <w:szCs w:val="24"/>
        </w:rPr>
        <w:t xml:space="preserve"> спортна зала</w:t>
      </w:r>
      <w:r w:rsidR="0014051A">
        <w:rPr>
          <w:color w:val="000000"/>
          <w:sz w:val="24"/>
          <w:szCs w:val="24"/>
        </w:rPr>
        <w:t xml:space="preserve"> „ Гълъбин </w:t>
      </w:r>
      <w:proofErr w:type="spellStart"/>
      <w:r w:rsidR="0014051A">
        <w:rPr>
          <w:color w:val="000000"/>
          <w:sz w:val="24"/>
          <w:szCs w:val="24"/>
        </w:rPr>
        <w:t>Боевски</w:t>
      </w:r>
      <w:proofErr w:type="spellEnd"/>
      <w:r w:rsidR="0014051A">
        <w:rPr>
          <w:color w:val="000000"/>
          <w:sz w:val="24"/>
          <w:szCs w:val="24"/>
        </w:rPr>
        <w:t>”, подобрената енергийна ефективност на сграда на Община Кнежа, обновяването на читалище „ Борба 1896”- Кнежа. Продължителност 12 мин. и 21 сек.</w:t>
      </w:r>
    </w:p>
    <w:p w:rsidR="0014051A" w:rsidRDefault="0014051A" w:rsidP="00AB537E">
      <w:pPr>
        <w:shd w:val="clear" w:color="auto" w:fill="FFFFFF"/>
        <w:tabs>
          <w:tab w:val="left" w:pos="1248"/>
        </w:tabs>
        <w:spacing w:before="77" w:line="360" w:lineRule="auto"/>
        <w:ind w:firstLine="10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1711F">
        <w:rPr>
          <w:color w:val="000000"/>
          <w:sz w:val="24"/>
          <w:szCs w:val="24"/>
        </w:rPr>
        <w:t>Филм 2: Представя добрите практики по проекти, финансирани по Мярка 322 на ПРСР- „ Обновяване и развитие на селата”. Филмът показва изцяло възстановената историческа църква” Свети Арха</w:t>
      </w:r>
      <w:r w:rsidR="008F0672">
        <w:rPr>
          <w:color w:val="000000"/>
          <w:sz w:val="24"/>
          <w:szCs w:val="24"/>
        </w:rPr>
        <w:t>нгел Михаил” в село Лазарово, изградените детски площадки в село Лазарово и в град Кнежа</w:t>
      </w:r>
      <w:r w:rsidR="003922BC">
        <w:rPr>
          <w:color w:val="000000"/>
          <w:sz w:val="24"/>
          <w:szCs w:val="24"/>
        </w:rPr>
        <w:t>, както и коментар на кмета на Община Кнежа за значението на реализираните публични проекти за местната общност. Продължителност 10 мин. и 16 сек</w:t>
      </w:r>
    </w:p>
    <w:p w:rsidR="00AA55D7" w:rsidRDefault="00AA55D7" w:rsidP="00AB537E">
      <w:pPr>
        <w:shd w:val="clear" w:color="auto" w:fill="FFFFFF"/>
        <w:tabs>
          <w:tab w:val="left" w:pos="1248"/>
        </w:tabs>
        <w:spacing w:before="77" w:line="360" w:lineRule="auto"/>
        <w:ind w:firstLine="10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.Филм 3: Обобщение на успешното изпълнение на Стратегията за местно развитие отчете </w:t>
      </w:r>
      <w:r w:rsidR="00490518">
        <w:rPr>
          <w:color w:val="000000"/>
          <w:sz w:val="24"/>
          <w:szCs w:val="24"/>
        </w:rPr>
        <w:t xml:space="preserve">Местната инициативна група в Кнежа, представяне на положителния опит при прилагане на подхода „Лидер” </w:t>
      </w:r>
      <w:r w:rsidR="00AF4737">
        <w:rPr>
          <w:color w:val="000000"/>
          <w:sz w:val="24"/>
          <w:szCs w:val="24"/>
        </w:rPr>
        <w:t>. Филмът съдържа интервюта с кмета на Община Кнежа, с предсе</w:t>
      </w:r>
      <w:r w:rsidR="002C246F">
        <w:rPr>
          <w:color w:val="000000"/>
          <w:sz w:val="24"/>
          <w:szCs w:val="24"/>
        </w:rPr>
        <w:t>дателя на УС на МИГ- Кнежа и с изпълнителния директор на МИГ- Кнежа. Продължителност 11 мин. и 34 сек.</w:t>
      </w:r>
    </w:p>
    <w:p w:rsidR="009E3840" w:rsidRDefault="009E3840" w:rsidP="00AB537E">
      <w:pPr>
        <w:shd w:val="clear" w:color="auto" w:fill="FFFFFF"/>
        <w:spacing w:before="211"/>
        <w:ind w:right="48"/>
        <w:jc w:val="both"/>
        <w:rPr>
          <w:b/>
          <w:color w:val="000000"/>
          <w:sz w:val="24"/>
          <w:szCs w:val="24"/>
        </w:rPr>
      </w:pPr>
    </w:p>
    <w:p w:rsidR="00AB537E" w:rsidRDefault="00AB537E" w:rsidP="00AB537E">
      <w:pPr>
        <w:shd w:val="clear" w:color="auto" w:fill="FFFFFF"/>
        <w:spacing w:before="211"/>
        <w:ind w:right="48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9.Планирани дейности:</w:t>
      </w:r>
    </w:p>
    <w:p w:rsidR="00AB537E" w:rsidRDefault="00AB537E" w:rsidP="00AB537E">
      <w:pPr>
        <w:widowControl/>
        <w:autoSpaceDE/>
        <w:autoSpaceDN/>
        <w:adjustRightInd/>
        <w:rPr>
          <w:color w:val="000000"/>
          <w:sz w:val="22"/>
          <w:szCs w:val="22"/>
        </w:rPr>
        <w:sectPr w:rsidR="00AB537E">
          <w:pgSz w:w="11906" w:h="16838"/>
          <w:pgMar w:top="720" w:right="1466" w:bottom="1418" w:left="1418" w:header="709" w:footer="709" w:gutter="0"/>
          <w:cols w:space="708"/>
        </w:sect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2"/>
        <w:gridCol w:w="3455"/>
        <w:gridCol w:w="9"/>
        <w:gridCol w:w="1275"/>
        <w:gridCol w:w="707"/>
        <w:gridCol w:w="75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5"/>
      </w:tblGrid>
      <w:tr w:rsidR="00AB537E" w:rsidTr="00AB537E">
        <w:trPr>
          <w:trHeight w:val="544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center"/>
            </w:pPr>
            <w:bookmarkStart w:id="0" w:name="OLE_LINK3"/>
            <w:r>
              <w:lastRenderedPageBreak/>
              <w:t>№</w:t>
            </w:r>
          </w:p>
        </w:tc>
        <w:tc>
          <w:tcPr>
            <w:tcW w:w="14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AB537E" w:rsidRDefault="00AB537E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ПЛАНИРАНИ ДЕЙНОСТИ ЗА 201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година</w:t>
            </w:r>
          </w:p>
        </w:tc>
      </w:tr>
      <w:tr w:rsidR="00AB537E" w:rsidTr="00AB537E">
        <w:trPr>
          <w:trHeight w:val="347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</w:pPr>
          </w:p>
          <w:p w:rsidR="00AB537E" w:rsidRDefault="00AB5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Дейности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ОБЩ БЮДЖЕТ</w:t>
            </w:r>
          </w:p>
        </w:tc>
        <w:tc>
          <w:tcPr>
            <w:tcW w:w="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Първо шестмесечие</w:t>
            </w:r>
          </w:p>
        </w:tc>
        <w:tc>
          <w:tcPr>
            <w:tcW w:w="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Второ шест </w:t>
            </w:r>
            <w:proofErr w:type="spellStart"/>
            <w:r>
              <w:rPr>
                <w:b/>
              </w:rPr>
              <w:t>месечие</w:t>
            </w:r>
            <w:proofErr w:type="spellEnd"/>
          </w:p>
        </w:tc>
      </w:tr>
      <w:tr w:rsidR="00AB537E" w:rsidTr="00AB537E">
        <w:trPr>
          <w:trHeight w:val="347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</w:tr>
      <w:tr w:rsidR="00AB537E" w:rsidTr="00AB537E">
        <w:trPr>
          <w:trHeight w:val="529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B537E" w:rsidTr="00AB537E">
        <w:trPr>
          <w:trHeight w:val="72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Публикуване на покана за прием на заявления за подпомагане по мерките от СМР</w:t>
            </w:r>
          </w:p>
          <w:p w:rsidR="00AB537E" w:rsidRDefault="00AB53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52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на заявления по мерките от СМР, оценка и класиране</w:t>
            </w:r>
          </w:p>
          <w:p w:rsidR="00AB537E" w:rsidRDefault="00AB537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54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Сключване на договори по проекти към СМР</w:t>
            </w:r>
          </w:p>
          <w:p w:rsidR="00AB537E" w:rsidRDefault="00AB537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P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</w:tr>
      <w:tr w:rsidR="00AB537E" w:rsidTr="00AB537E">
        <w:trPr>
          <w:trHeight w:val="89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Изпълнение на договори по проекти към СМР и мониторинг по 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P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257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14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ДЕЙНОСТИ ЗА ПРИДОБИВАНЕ НА УМЕНИЯ И П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СТИГАНЕ НА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ЩЕСТВЕНА АКТИВНО</w:t>
            </w: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Т</w:t>
            </w:r>
          </w:p>
        </w:tc>
      </w:tr>
      <w:tr w:rsidR="00AB537E" w:rsidTr="00AB537E">
        <w:trPr>
          <w:trHeight w:val="1072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Разходи за проучвания на съответната територия и разходи за осигуряване на информация на територията и за 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2872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1.1  Аналитично проучване степента на информираност и информационен ефект сред потенциалните бенефициенти относно работата па МИГ, степен на задоволеност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lang w:val="en-US"/>
              </w:rPr>
            </w:pPr>
            <w:r>
              <w:t>5000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88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2  Разходи за осигуряване на информация за територията и за СМР</w:t>
            </w:r>
          </w:p>
          <w:p w:rsidR="00AB537E" w:rsidRDefault="00AB53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right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right"/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2388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2.1.Информационни срещи, организирани и проведени за населението и социално-икономическите партньори на територията при отчитане </w:t>
            </w:r>
            <w:proofErr w:type="spellStart"/>
            <w:r>
              <w:rPr>
                <w:sz w:val="22"/>
                <w:szCs w:val="22"/>
              </w:rPr>
              <w:t>изрълнението</w:t>
            </w:r>
            <w:proofErr w:type="spellEnd"/>
            <w:r>
              <w:rPr>
                <w:sz w:val="22"/>
                <w:szCs w:val="22"/>
              </w:rPr>
              <w:t xml:space="preserve"> на СМР пред населението. Разходът включва, пътни, наем зала, кафе пауза, материали и презентация.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178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Pr="00AB537E" w:rsidRDefault="00AB537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2.2.Организиране на двудневен годишен семинар с бенефициенти, финансирани по проекти на МИГ - Кнежа (около 30 участника) за отчитане напредъка по приключване на СМР, представяне на резултати от прилагането на СМР (конкретни продукти, нови производствени практики и технологични решения) и дискусия относно социално-икономическото развитие на територията.  Разходът включва пътни, наем на площ/зала, 4 кафе паузи, 2 обяд за 30 души, материали.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252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Pr="00AB537E" w:rsidRDefault="00AB537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2.3.Обществено обсъждане за въздействието  на стратегията за местно развитие на територията на Община Кнежа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123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3  Разходи за обучение на екипа, ангажиран в прилагането на стратегията за местно развитие</w:t>
            </w:r>
          </w:p>
          <w:p w:rsidR="00AB537E" w:rsidRDefault="00AB53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126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3.1.Организиране на двудневно </w:t>
            </w:r>
            <w:proofErr w:type="spellStart"/>
            <w:r>
              <w:rPr>
                <w:sz w:val="22"/>
                <w:szCs w:val="22"/>
              </w:rPr>
              <w:t>обученително</w:t>
            </w:r>
            <w:proofErr w:type="spellEnd"/>
            <w:r>
              <w:rPr>
                <w:sz w:val="22"/>
                <w:szCs w:val="22"/>
              </w:rPr>
              <w:t xml:space="preserve"> пътуване за изпълнителния директор,експерта СМР, счетоводителя и техническия асистент в друг МИГ в Република България с цел </w:t>
            </w:r>
            <w:proofErr w:type="spellStart"/>
            <w:r>
              <w:rPr>
                <w:sz w:val="22"/>
                <w:szCs w:val="22"/>
              </w:rPr>
              <w:t>обмянана</w:t>
            </w:r>
            <w:proofErr w:type="spellEnd"/>
            <w:r>
              <w:rPr>
                <w:sz w:val="22"/>
                <w:szCs w:val="22"/>
              </w:rPr>
              <w:t xml:space="preserve"> опит при приключването и отчитането на СМР.  Разходът е предвиден за 4 човека за 2 дни и включва - пътни, 1 нощувка с включена закуска, 2 обяда.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en-US"/>
              </w:rPr>
            </w:pPr>
          </w:p>
        </w:tc>
      </w:tr>
      <w:tr w:rsidR="00AB537E" w:rsidTr="00AB537E">
        <w:trPr>
          <w:trHeight w:val="1260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3.2.Включване в ежегодни обучителни курсове на национално и регионално ниво за подхода "Лидер" за 4 човека във връзка с необходимост от подобряване на уменията на екипа за усвояване на новаторски подходи, обмяна на опит в мотивиране, обединяване и реализиране на успешни проекти с цел оживяване на селските райони (4 човека х 300 лева на обучаем).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250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3.3.Включване на персонала и членовете на УС в ежегодни обучения, семинари, конференции, информационни събития  по въпросите на европейската селскостопанска политика с цел актуализиране на знания и практики  за нуждите на качественото консултиране на потенциални бенефициенти и избора на проекти за финансиране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103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3.4.Обучение на тема "Най-често допускани грешки и нарушения при обществените поръчки"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52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en-US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4. Разходи за популяризиране, информиране и публичност: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29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разходи по поддръжка на интернет страница (външна услуга);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87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създаване и поддръжка на актуални новини и база данни на проекти интернет страницата на МИГ-а;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720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62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 предпечат и печат на двуезична брошура с отчет за дейностите по изпълнение на СМР.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39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публикуване/отпечатване на покани за събития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103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  изработване и отпечатване на брошури, рекламни материали, материали за обучение и други свързани с популяризиране дейността на МИГ;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1600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47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4.6. отпечатване на рекламни листовки за подхода "Лидер"/2х500бр. Общо 1000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2200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75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отпечатване на рекламни листовки за постиженията на МИГ в съответния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67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 Организиране на пролетен концерт с участието на артисти и самодейни колективи от Кнежа за популяризиране и информиране на населението за напредъка и постиженията на МИГ - Кнежа и подхода Лидер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7000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16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 реализиране на радио- предавания и реклами на "Лидер", СМР и МИГ "Кнежа";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742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 реализиране на телевизионни предавания и реклами "Лидер", СМР и МИГ "Кнежа";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16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4.11. Изработване на 3 броя 10 минутни филми с превод на английски език за изпълнението на СМР и значението на МИГ и подхода Лидер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6600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1041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 Организиране и провеждане на пресконференция в БТА - Плевен относно приключване на Стратегията за местно развитие на МИГ - Кнежа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22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4.13. Изработване на рекламни материали - тениски шапки, чанти, химикалки, календари, запалки и др. с цел реклама на МИГ и подхода "Лидер"-1500 бр.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3500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34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4.14. Организиране и провеждане на среща с млади фермери /30 човека абитуриенти от ПГССТ+ 3 преподаватели+3 човека от персонал на МИГ, общо 36 души/на тема "Финансирането на земеделски производители от МИГ - Кнежа-алтернатива да останем и работим в родния край".Срещата ще се организира извън територията на МИГ -Кнежа. Предвиждат се разходи за транспорт, два обяда,една вечеря, една нощувка, лектори, логистика, 4бр. </w:t>
            </w:r>
            <w:proofErr w:type="spellStart"/>
            <w:r>
              <w:rPr>
                <w:sz w:val="22"/>
                <w:szCs w:val="22"/>
              </w:rPr>
              <w:t>кафепаузи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5860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51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4.15. Ден на отрити врати. Провеждане на информационен ден под наслов "Работим за нашите граждани".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4500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B537E" w:rsidTr="00AB537E">
        <w:trPr>
          <w:trHeight w:val="55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/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5.Разходи за организиране на обучения на местни лидери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jc w:val="right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B537E" w:rsidRDefault="00AB537E">
            <w:pPr>
              <w:rPr>
                <w:lang w:val="ru-RU"/>
              </w:rPr>
            </w:pPr>
          </w:p>
        </w:tc>
      </w:tr>
      <w:tr w:rsidR="00AB537E" w:rsidTr="00AB537E">
        <w:trPr>
          <w:trHeight w:val="54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Обучение добри земеделски практики и европейски стандарти  постигнати при изпълнение на СМР на МИГ - Кнежа (1 еднодневно обучение, 40 човека)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8000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AB537E" w:rsidTr="00AB537E">
        <w:trPr>
          <w:trHeight w:val="72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5.2.Обучение на тема "Стъпки към успешни проекти за бизнес-възможности,добри практики и насоки"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1200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AB537E" w:rsidTr="00AB537E">
        <w:trPr>
          <w:trHeight w:val="18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5.3.Информационна среща-семинар на тема "Иновативни </w:t>
            </w:r>
            <w:r>
              <w:rPr>
                <w:sz w:val="22"/>
                <w:szCs w:val="22"/>
              </w:rPr>
              <w:lastRenderedPageBreak/>
              <w:t xml:space="preserve">подходи към професионалното обучение в малките и </w:t>
            </w:r>
            <w:proofErr w:type="spellStart"/>
            <w:r>
              <w:rPr>
                <w:sz w:val="22"/>
                <w:szCs w:val="22"/>
              </w:rPr>
              <w:t>микро</w:t>
            </w:r>
            <w:proofErr w:type="spellEnd"/>
            <w:r>
              <w:rPr>
                <w:sz w:val="22"/>
                <w:szCs w:val="22"/>
              </w:rPr>
              <w:t xml:space="preserve"> предприятия"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lastRenderedPageBreak/>
              <w:t>1300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AB537E" w:rsidTr="00AB537E">
        <w:trPr>
          <w:trHeight w:val="30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rPr>
                <w:lang w:val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E" w:rsidRDefault="00AB5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5.4.Обучение на тема "Азотно торене на есенните посеви"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  <w:r>
              <w:t>950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537E" w:rsidRDefault="00AB5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37E" w:rsidRDefault="00AB5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bookmarkEnd w:id="0"/>
    </w:tbl>
    <w:p w:rsidR="00AB537E" w:rsidRDefault="00AB537E" w:rsidP="00AB537E">
      <w:pPr>
        <w:rPr>
          <w:lang w:val="en-US"/>
        </w:rPr>
      </w:pPr>
    </w:p>
    <w:p w:rsidR="00AB537E" w:rsidRDefault="00AB537E" w:rsidP="00AB537E">
      <w:pPr>
        <w:rPr>
          <w:lang w:val="ru-RU"/>
        </w:rPr>
      </w:pPr>
    </w:p>
    <w:p w:rsidR="00AB537E" w:rsidRDefault="00AB537E" w:rsidP="00AB537E">
      <w:pPr>
        <w:rPr>
          <w:lang w:val="ru-RU"/>
        </w:rPr>
      </w:pPr>
    </w:p>
    <w:p w:rsidR="00AB537E" w:rsidRDefault="00AB537E" w:rsidP="00AB537E">
      <w:pPr>
        <w:rPr>
          <w:lang w:val="ru-RU"/>
        </w:rPr>
      </w:pPr>
    </w:p>
    <w:p w:rsidR="00AB537E" w:rsidRDefault="00AB537E" w:rsidP="00AB537E">
      <w:pPr>
        <w:rPr>
          <w:lang w:val="ru-RU"/>
        </w:rPr>
      </w:pPr>
    </w:p>
    <w:p w:rsidR="00AB537E" w:rsidRDefault="00AB537E" w:rsidP="00AB537E">
      <w:pPr>
        <w:shd w:val="clear" w:color="auto" w:fill="FFFFFF"/>
        <w:tabs>
          <w:tab w:val="left" w:pos="1248"/>
        </w:tabs>
        <w:spacing w:before="77" w:line="259" w:lineRule="exact"/>
        <w:ind w:firstLine="1013"/>
        <w:jc w:val="both"/>
        <w:rPr>
          <w:color w:val="000000"/>
          <w:sz w:val="24"/>
          <w:szCs w:val="24"/>
          <w:lang w:val="ru-RU"/>
        </w:rPr>
      </w:pPr>
    </w:p>
    <w:p w:rsidR="00AB537E" w:rsidRDefault="00AB537E" w:rsidP="00AB537E">
      <w:pPr>
        <w:widowControl/>
        <w:autoSpaceDE/>
        <w:autoSpaceDN/>
        <w:adjustRightInd/>
        <w:rPr>
          <w:sz w:val="24"/>
          <w:szCs w:val="24"/>
          <w:lang w:val="en-US"/>
        </w:rPr>
        <w:sectPr w:rsidR="00AB537E">
          <w:pgSz w:w="16838" w:h="11906" w:orient="landscape"/>
          <w:pgMar w:top="540" w:right="720" w:bottom="360" w:left="1418" w:header="709" w:footer="709" w:gutter="0"/>
          <w:cols w:space="708"/>
        </w:sectPr>
      </w:pPr>
    </w:p>
    <w:p w:rsidR="00AB537E" w:rsidRDefault="00AB537E" w:rsidP="00AB537E">
      <w:pPr>
        <w:shd w:val="clear" w:color="auto" w:fill="FFFFFF"/>
        <w:ind w:left="451"/>
      </w:pPr>
      <w:bookmarkStart w:id="1" w:name="OLE_LINK4"/>
      <w:r>
        <w:rPr>
          <w:b/>
          <w:bCs/>
          <w:color w:val="000000"/>
          <w:sz w:val="22"/>
          <w:szCs w:val="22"/>
        </w:rPr>
        <w:lastRenderedPageBreak/>
        <w:t>10. Финансово изпълнение на СМР</w:t>
      </w:r>
    </w:p>
    <w:bookmarkEnd w:id="1"/>
    <w:p w:rsidR="00AB537E" w:rsidRDefault="00AB537E" w:rsidP="00AB537E">
      <w:pPr>
        <w:shd w:val="clear" w:color="auto" w:fill="FFFFFF"/>
        <w:ind w:left="360"/>
        <w:jc w:val="both"/>
        <w:rPr>
          <w:sz w:val="24"/>
          <w:szCs w:val="24"/>
        </w:rPr>
      </w:pPr>
    </w:p>
    <w:p w:rsidR="00AB537E" w:rsidRDefault="00AB537E" w:rsidP="00AB537E">
      <w:pPr>
        <w:shd w:val="clear" w:color="auto" w:fill="FFFFFF"/>
        <w:ind w:left="115"/>
      </w:pPr>
      <w:r>
        <w:rPr>
          <w:i/>
          <w:iCs/>
          <w:color w:val="000000"/>
          <w:sz w:val="22"/>
          <w:szCs w:val="22"/>
        </w:rPr>
        <w:t>Таблица 5</w:t>
      </w:r>
    </w:p>
    <w:p w:rsidR="00AB537E" w:rsidRDefault="00AB537E" w:rsidP="00AB537E">
      <w:pPr>
        <w:spacing w:after="163" w:line="1" w:lineRule="exact"/>
        <w:rPr>
          <w:sz w:val="2"/>
          <w:szCs w:val="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3"/>
        <w:gridCol w:w="2098"/>
        <w:gridCol w:w="643"/>
        <w:gridCol w:w="1466"/>
        <w:gridCol w:w="360"/>
        <w:gridCol w:w="268"/>
        <w:gridCol w:w="768"/>
        <w:gridCol w:w="404"/>
        <w:gridCol w:w="360"/>
        <w:gridCol w:w="1080"/>
        <w:gridCol w:w="280"/>
        <w:gridCol w:w="80"/>
        <w:gridCol w:w="1440"/>
      </w:tblGrid>
      <w:tr w:rsidR="00AB537E" w:rsidTr="005D5F2E">
        <w:trPr>
          <w:trHeight w:hRule="exact" w:val="30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7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</w:rPr>
              <w:t>За периода на прилагане на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стратегията, вкл. настоящия</w:t>
            </w:r>
          </w:p>
        </w:tc>
      </w:tr>
      <w:tr w:rsidR="00AB537E" w:rsidTr="005D5F2E">
        <w:trPr>
          <w:trHeight w:hRule="exact" w:val="442"/>
        </w:trPr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40" w:lineRule="exact"/>
              <w:ind w:firstLine="82"/>
            </w:pPr>
            <w:r>
              <w:rPr>
                <w:b/>
                <w:bCs/>
                <w:color w:val="000000"/>
              </w:rPr>
              <w:t>Код на мярката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Име на мярката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right="250"/>
              <w:jc w:val="right"/>
            </w:pPr>
            <w:r>
              <w:rPr>
                <w:b/>
                <w:bCs/>
                <w:color w:val="000000"/>
              </w:rPr>
              <w:t>доклад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490"/>
        </w:trPr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/>
          <w:p w:rsidR="00AB537E" w:rsidRDefault="00AB537E"/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/>
          <w:p w:rsidR="00AB537E" w:rsidRDefault="00AB537E"/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Подадени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>Отхвърлени /оттеглени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Сключени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Изплатени</w:t>
            </w:r>
          </w:p>
        </w:tc>
      </w:tr>
      <w:tr w:rsidR="00AB537E" w:rsidTr="005D5F2E">
        <w:trPr>
          <w:trHeight w:hRule="exact" w:val="254"/>
        </w:trPr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1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заявления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/анулирани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договори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11"/>
        </w:trPr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u w:val="single"/>
              </w:rPr>
              <w:t>заяв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  <w:u w:val="single"/>
              </w:rPr>
              <w:t>ения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45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/>
          <w:p w:rsidR="00AB537E" w:rsidRDefault="00AB537E"/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/>
          <w:p w:rsidR="00AB537E" w:rsidRDefault="00AB537E"/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брой</w:t>
            </w: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лева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брой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лева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брой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лева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брой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лева</w:t>
            </w:r>
          </w:p>
        </w:tc>
      </w:tr>
      <w:tr w:rsidR="00AB537E" w:rsidTr="005D5F2E">
        <w:trPr>
          <w:trHeight w:hRule="exact" w:val="245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4.1.1. Мерки насочени към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514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конкурентоспособността (в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1 505 424.57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536 217.38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961422.48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Pr="0063387C" w:rsidRDefault="0063387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Pr="0063387C" w:rsidRDefault="0063387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355962.36</w:t>
            </w:r>
          </w:p>
        </w:tc>
      </w:tr>
      <w:tr w:rsidR="00AB537E" w:rsidTr="005D5F2E">
        <w:trPr>
          <w:trHeight w:hRule="exact" w:val="206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това число мерките от ос 1 на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3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ПРСР)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72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41121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Модернизиране но</w:t>
            </w:r>
          </w:p>
          <w:p w:rsidR="00AB537E" w:rsidRDefault="00AB537E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земеделските</w:t>
            </w:r>
          </w:p>
          <w:p w:rsidR="00AB537E" w:rsidRDefault="00AB537E">
            <w:pPr>
              <w:shd w:val="clear" w:color="auto" w:fill="FFFFFF"/>
              <w:spacing w:line="235" w:lineRule="exact"/>
            </w:pPr>
            <w:proofErr w:type="spellStart"/>
            <w:r>
              <w:rPr>
                <w:color w:val="000000"/>
              </w:rPr>
              <w:t>спопанства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629 870.70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51829.49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570256.50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258210.86</w:t>
            </w:r>
          </w:p>
        </w:tc>
      </w:tr>
      <w:tr w:rsidR="00AB537E" w:rsidTr="005D5F2E">
        <w:trPr>
          <w:trHeight w:hRule="exact" w:val="25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color w:val="000000"/>
              </w:rPr>
              <w:t>Добавяне на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71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41123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  <w:ind w:right="77"/>
            </w:pPr>
            <w:r>
              <w:rPr>
                <w:color w:val="000000"/>
              </w:rPr>
              <w:t>стойност към земеделски и горски продукти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875 553.87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484 387.89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391165.98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63387C" w:rsidRDefault="0063387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63387C">
            <w:pPr>
              <w:shd w:val="clear" w:color="auto" w:fill="FFFFFF"/>
              <w:jc w:val="center"/>
            </w:pPr>
            <w:r>
              <w:t>97 751,50</w:t>
            </w:r>
          </w:p>
        </w:tc>
      </w:tr>
      <w:tr w:rsidR="00AB537E" w:rsidTr="005D5F2E">
        <w:trPr>
          <w:trHeight w:hRule="exact" w:val="245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4.1.2. Мерки насочени към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64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околната среда/стопанисване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B537E" w:rsidTr="005D5F2E">
        <w:trPr>
          <w:trHeight w:hRule="exact" w:val="211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на земята (в това число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3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мерките от ос 2 на ПРСР)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365"/>
        </w:trPr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B537E" w:rsidTr="005D5F2E">
        <w:trPr>
          <w:trHeight w:hRule="exact" w:val="25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4.1.3. Мерки насочени към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FF4F7B">
        <w:trPr>
          <w:trHeight w:hRule="exact" w:val="55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качеството на живота/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3289798.24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756790.56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t>2352840.86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Pr="00FF4F7B" w:rsidRDefault="00FF4F7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8D6445">
            <w:pPr>
              <w:shd w:val="clear" w:color="auto" w:fill="FFFFFF"/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1989475.78</w:t>
            </w:r>
          </w:p>
        </w:tc>
      </w:tr>
      <w:tr w:rsidR="00AB537E" w:rsidTr="005D5F2E">
        <w:trPr>
          <w:trHeight w:hRule="exact" w:val="25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разнообразяване (в това число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21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мерките от ос 3 на ПРСР)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71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41311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Разнообразяване към</w:t>
            </w:r>
          </w:p>
          <w:p w:rsidR="00AB537E" w:rsidRDefault="00AB537E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неземеделски</w:t>
            </w:r>
          </w:p>
          <w:p w:rsidR="00AB537E" w:rsidRDefault="00AB537E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дейности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1148804.33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642337.33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t>381617</w:t>
            </w:r>
            <w:r>
              <w:rPr>
                <w:lang w:val="en-US"/>
              </w:rPr>
              <w:t>.00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5D5F2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5D5F2E">
            <w:pPr>
              <w:shd w:val="clear" w:color="auto" w:fill="FFFFFF"/>
              <w:jc w:val="center"/>
              <w:rPr>
                <w:lang w:val="en-US"/>
              </w:rPr>
            </w:pPr>
            <w:r>
              <w:t>212 006,90</w:t>
            </w:r>
          </w:p>
        </w:tc>
      </w:tr>
      <w:tr w:rsidR="00AB537E" w:rsidTr="005D5F2E">
        <w:trPr>
          <w:trHeight w:hRule="exact" w:val="27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color w:val="000000"/>
              </w:rPr>
              <w:t>Подкрепа за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682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41312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създаване и развитие</w:t>
            </w:r>
          </w:p>
          <w:p w:rsidR="00AB537E" w:rsidRDefault="00AB537E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на</w:t>
            </w:r>
          </w:p>
          <w:p w:rsidR="00AB537E" w:rsidRDefault="00AB537E">
            <w:pPr>
              <w:shd w:val="clear" w:color="auto" w:fill="FFFFFF"/>
              <w:spacing w:line="235" w:lineRule="exact"/>
            </w:pPr>
            <w:proofErr w:type="spellStart"/>
            <w:r>
              <w:rPr>
                <w:color w:val="000000"/>
              </w:rPr>
              <w:t>микропредприятия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362566.64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114453.23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247806.86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5D5F2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5D5F2E">
            <w:pPr>
              <w:shd w:val="clear" w:color="auto" w:fill="FFFFFF"/>
              <w:jc w:val="center"/>
              <w:rPr>
                <w:lang w:val="en-US"/>
              </w:rPr>
            </w:pPr>
            <w:r>
              <w:t>173 464,80</w:t>
            </w:r>
          </w:p>
        </w:tc>
      </w:tr>
      <w:tr w:rsidR="00AB537E" w:rsidTr="005D5F2E">
        <w:trPr>
          <w:trHeight w:hRule="exact" w:val="26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color w:val="000000"/>
              </w:rPr>
              <w:t>Основни услуги за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686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41321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  <w:ind w:right="427"/>
            </w:pPr>
            <w:r>
              <w:rPr>
                <w:color w:val="000000"/>
              </w:rPr>
              <w:t>населението и икономиката в селските райони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1166130.47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1148035.16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5D5F2E" w:rsidRDefault="005D5F2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5843E3" w:rsidRDefault="005843E3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1056122.76</w:t>
            </w:r>
          </w:p>
        </w:tc>
      </w:tr>
      <w:tr w:rsidR="00AB537E" w:rsidTr="005D5F2E">
        <w:trPr>
          <w:trHeight w:hRule="exact" w:val="71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41322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35" w:lineRule="exact"/>
              <w:ind w:right="350"/>
            </w:pPr>
            <w:r>
              <w:rPr>
                <w:color w:val="000000"/>
              </w:rPr>
              <w:t>Обновяване и развитие на населените места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612296.80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575381.84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D31167" w:rsidRDefault="00D3116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5843E3" w:rsidRDefault="005843E3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547881.32</w:t>
            </w:r>
          </w:p>
        </w:tc>
      </w:tr>
      <w:tr w:rsidR="00AB537E" w:rsidTr="005D5F2E">
        <w:trPr>
          <w:trHeight w:hRule="exact" w:val="24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color w:val="000000"/>
              </w:rPr>
              <w:t>Опазване 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485"/>
        </w:trPr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40" w:lineRule="exact"/>
              <w:ind w:right="24"/>
            </w:pPr>
            <w:r>
              <w:rPr>
                <w:color w:val="000000"/>
              </w:rPr>
              <w:t>подобряване на селското наследство,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B537E" w:rsidTr="005D5F2E">
        <w:trPr>
          <w:trHeight w:hRule="exact" w:val="230"/>
        </w:trPr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color w:val="000000"/>
              </w:rPr>
              <w:t>чл. 57 от Регламент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4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</w:rPr>
              <w:t>41323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color w:val="000000"/>
              </w:rPr>
              <w:t>1698/2005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509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spacing w:line="240" w:lineRule="exact"/>
              <w:ind w:right="168"/>
            </w:pPr>
            <w:r>
              <w:rPr>
                <w:b/>
                <w:bCs/>
                <w:color w:val="000000"/>
              </w:rPr>
              <w:t>4.2.1. Между-териториално и транс-национално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B537E" w:rsidTr="005D5F2E">
        <w:trPr>
          <w:trHeight w:hRule="exact" w:val="211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сътрудничество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35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</w:p>
        </w:tc>
      </w:tr>
      <w:tr w:rsidR="00AB537E" w:rsidTr="005D5F2E">
        <w:trPr>
          <w:trHeight w:hRule="exact" w:val="269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</w:rPr>
              <w:t>ОБЩО: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4795222.81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1293007.94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Default="00AB537E">
            <w:pPr>
              <w:shd w:val="clear" w:color="auto" w:fill="FFFFFF"/>
            </w:pPr>
            <w:r>
              <w:t>3314263.34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D31167" w:rsidRDefault="00D31167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37E" w:rsidRPr="005843E3" w:rsidRDefault="005843E3">
            <w:pPr>
              <w:shd w:val="clear" w:color="auto" w:fill="FFFFFF"/>
              <w:rPr>
                <w:lang w:val="en-US"/>
              </w:rPr>
            </w:pPr>
            <w:r>
              <w:rPr>
                <w:rStyle w:val="a8"/>
                <w:lang w:val="en-US"/>
              </w:rPr>
              <w:t>2345438.14</w:t>
            </w:r>
          </w:p>
        </w:tc>
      </w:tr>
    </w:tbl>
    <w:p w:rsidR="00AB537E" w:rsidRDefault="00AB537E" w:rsidP="00AB537E">
      <w:pPr>
        <w:shd w:val="clear" w:color="auto" w:fill="FFFFFF"/>
        <w:spacing w:before="461"/>
        <w:ind w:left="1286"/>
      </w:pPr>
      <w:r>
        <w:rPr>
          <w:b/>
          <w:bCs/>
          <w:sz w:val="22"/>
          <w:szCs w:val="22"/>
        </w:rPr>
        <w:lastRenderedPageBreak/>
        <w:t>11. Мониторинг и оценка.</w:t>
      </w:r>
    </w:p>
    <w:p w:rsidR="00AB537E" w:rsidRDefault="00AB537E" w:rsidP="00AB53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Съгласно разписаните процедури в Правилник за изпълнение на Стратегията за местно развитие на МИГ- Кнежа мониторинг и оценка на проекти бива текущ/ осъществява се в периода на изпълнение на проекти от бенефициенти до неговото окончателно отчитане и изплащане/  и </w:t>
      </w:r>
      <w:proofErr w:type="spellStart"/>
      <w:r>
        <w:rPr>
          <w:sz w:val="24"/>
          <w:szCs w:val="24"/>
        </w:rPr>
        <w:t>последващ</w:t>
      </w:r>
      <w:proofErr w:type="spellEnd"/>
      <w:r>
        <w:rPr>
          <w:sz w:val="24"/>
          <w:szCs w:val="24"/>
        </w:rPr>
        <w:t xml:space="preserve"> /осъществява се след приключване на проекта и  е свързан с проследяване устойчивостта на реализираният проект/,  той се извършва на всеки три месеца след подписване на договори с бенефициенти, ако е текущ и на шест месеца, ако е </w:t>
      </w:r>
      <w:proofErr w:type="spellStart"/>
      <w:r>
        <w:rPr>
          <w:sz w:val="24"/>
          <w:szCs w:val="24"/>
        </w:rPr>
        <w:t>последващ</w:t>
      </w:r>
      <w:proofErr w:type="spellEnd"/>
      <w:r>
        <w:rPr>
          <w:sz w:val="24"/>
          <w:szCs w:val="24"/>
        </w:rPr>
        <w:t xml:space="preserve">.. Експерт по прилагане на стратегията за местно развитие заедно с Изпълнителния директор на МИГ извърши посещение на място на всички договорирани и изпълнени проекти. На посещението на място се попълни контролен лист за установяване на съответствие между декларираните данни в подаденото заявление и фактическа обстановка, документация на проекта, оригинални счетоводни документи/ когато е приложимо/, с цел наблюдение и контролиране качеството на изпълнение на Стратегията за местно развитие . На 13.10.2014г. в офиса на МИГ- Кнежа бе извършено посещение на място от експерти, отдел „ Мерки по ос </w:t>
      </w:r>
      <w:smartTag w:uri="urn:schemas-microsoft-com:office:smarttags" w:element="metricconverter">
        <w:smartTagPr>
          <w:attr w:name="ProductID" w:val="4”"/>
        </w:smartTagPr>
        <w:r>
          <w:rPr>
            <w:sz w:val="24"/>
            <w:szCs w:val="24"/>
          </w:rPr>
          <w:t>4”</w:t>
        </w:r>
      </w:smartTag>
      <w:r>
        <w:rPr>
          <w:sz w:val="24"/>
          <w:szCs w:val="24"/>
        </w:rPr>
        <w:t xml:space="preserve"> към МЗХ, на което се провериха всички мониторинг доклади и контролни листи от извършените проверки на място, както решенията от заседанията на УС за оценката и напредъка по изпълнението на СМР.  В края на месец ноември се извърши външен мониторинг от експерти, избрани по реда за подбор на външни експерти.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След остойностяване на всички въпроси, общата нетна стойност на проведената оценка се изразява в </w:t>
      </w:r>
      <w:r>
        <w:rPr>
          <w:b/>
          <w:sz w:val="24"/>
          <w:szCs w:val="24"/>
        </w:rPr>
        <w:t>170 т.</w:t>
      </w:r>
      <w:r>
        <w:rPr>
          <w:sz w:val="24"/>
          <w:szCs w:val="24"/>
        </w:rPr>
        <w:t>, което съгласно приложената методология за оценка, изпълнението на стратегията попада в група „Много добре изпълнявана секторна стратегия” с приложени основните принципи на стратегическото планиране – над 85% от максималната оценка (от 153 до 180 точки).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На 02.12.201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г. на база докладите, представени от експерт СМР за всеки конкретен бенефициент, докладите изготвени от външните експерти и мониторинг становища на УС,  се изготви </w:t>
      </w:r>
      <w:r>
        <w:rPr>
          <w:i/>
          <w:sz w:val="24"/>
          <w:szCs w:val="24"/>
        </w:rPr>
        <w:t xml:space="preserve">Годишен отчет за мониторинг и оценка. </w:t>
      </w:r>
      <w:r>
        <w:rPr>
          <w:sz w:val="24"/>
          <w:szCs w:val="24"/>
        </w:rPr>
        <w:t>Той беше утвърден от УС на 11.12.201</w:t>
      </w:r>
      <w:r w:rsidRPr="00AB537E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г.</w:t>
      </w:r>
    </w:p>
    <w:p w:rsidR="00AB537E" w:rsidRDefault="00AB537E" w:rsidP="00AB537E">
      <w:pPr>
        <w:shd w:val="clear" w:color="auto" w:fill="FFFFFF"/>
        <w:spacing w:before="451"/>
        <w:ind w:left="1286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12. </w:t>
      </w:r>
      <w:r>
        <w:rPr>
          <w:b/>
          <w:bCs/>
          <w:sz w:val="24"/>
          <w:szCs w:val="24"/>
        </w:rPr>
        <w:t>Научени уроци от страна на МИГ, примери за добри практики</w:t>
      </w:r>
    </w:p>
    <w:p w:rsidR="00A2769E" w:rsidRDefault="008B59CA" w:rsidP="008B59CA">
      <w:pPr>
        <w:pStyle w:val="a5"/>
      </w:pPr>
      <w:r>
        <w:t xml:space="preserve">         Националната селска мрежа проведе своята финална конференция на 30 септември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в гр. София.  </w:t>
      </w:r>
    </w:p>
    <w:p w:rsidR="00A2769E" w:rsidRDefault="001A0E45" w:rsidP="00A2769E">
      <w:pPr>
        <w:pStyle w:val="a5"/>
      </w:pPr>
      <w:r>
        <w:t xml:space="preserve">     </w:t>
      </w:r>
      <w:r w:rsidR="008B59CA">
        <w:t xml:space="preserve">Заключителната среща премина при голям интерес – над 130 участници, представящи разнообразието на членовете на НСМ: НПО, университети, земеделски предприемачи, 30 представители на действащите МИГ в страната, регионалните координатори от 16 области, представители на Областните информационни центрове, на Оперативните програми „Околна среда”, „Развитие на човешките ресурси”, „Наука и образование за интелигентен растеж” и Програма за морско дело и рибарство, на Националната служба за съвети в земеделието, представители на МЗХ и ДФЗ. Най вълнуващата част на срещата беше награждаването на </w:t>
      </w:r>
      <w:hyperlink r:id="rId12" w:tgtFrame="_blank" w:history="1">
        <w:r w:rsidR="008B59CA" w:rsidRPr="001A0E45">
          <w:rPr>
            <w:rStyle w:val="a8"/>
            <w:u w:val="single"/>
          </w:rPr>
          <w:t>победителите в конкурса за най-добра практика и най-добър проект</w:t>
        </w:r>
      </w:hyperlink>
      <w:r w:rsidR="008B59CA" w:rsidRPr="001A0E45">
        <w:t>.</w:t>
      </w:r>
      <w:r w:rsidR="00A2769E">
        <w:t xml:space="preserve"> Конкурсът за избор на </w:t>
      </w:r>
      <w:r w:rsidR="00A2769E">
        <w:rPr>
          <w:rStyle w:val="a9"/>
          <w:b/>
          <w:bCs/>
        </w:rPr>
        <w:t xml:space="preserve">най-добър проект </w:t>
      </w:r>
      <w:r w:rsidR="00A2769E">
        <w:t xml:space="preserve">се извърши от комисия от експерти, чрез предварително оповестени критерии. Критериите бяха избрани и съгласувани от членовете на НСМ в поредица от срещи през </w:t>
      </w:r>
      <w:smartTag w:uri="urn:schemas-microsoft-com:office:smarttags" w:element="metricconverter">
        <w:smartTagPr>
          <w:attr w:name="ProductID" w:val="2015 г"/>
        </w:smartTagPr>
        <w:r w:rsidR="00A2769E">
          <w:t>2015 г</w:t>
        </w:r>
      </w:smartTag>
      <w:r w:rsidR="00A2769E">
        <w:t>.</w:t>
      </w:r>
    </w:p>
    <w:p w:rsidR="00A2769E" w:rsidRDefault="00A2769E" w:rsidP="00A2769E">
      <w:pPr>
        <w:pStyle w:val="a5"/>
      </w:pPr>
      <w:r>
        <w:rPr>
          <w:rStyle w:val="a8"/>
        </w:rPr>
        <w:t>Състав на комисията за избор на най-добър проект, добра практика по ПРСР 2007-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a8"/>
          </w:rPr>
          <w:t>2013</w:t>
        </w:r>
        <w:r>
          <w:t xml:space="preserve"> </w:t>
        </w:r>
        <w:r>
          <w:rPr>
            <w:rStyle w:val="a8"/>
          </w:rPr>
          <w:t>г</w:t>
        </w:r>
      </w:smartTag>
      <w:r>
        <w:rPr>
          <w:rStyle w:val="a8"/>
        </w:rPr>
        <w:t>.</w:t>
      </w:r>
      <w:r>
        <w:t xml:space="preserve"> </w:t>
      </w:r>
      <w:r>
        <w:rPr>
          <w:rStyle w:val="a8"/>
        </w:rPr>
        <w:t>(по азбучен ред):</w:t>
      </w:r>
    </w:p>
    <w:p w:rsidR="00A2769E" w:rsidRDefault="00A2769E" w:rsidP="00A2769E">
      <w:pPr>
        <w:pStyle w:val="a5"/>
        <w:ind w:left="1485"/>
      </w:pPr>
      <w:r>
        <w:t>-          Елена Хаджиниколова, Гл. експерт, Дирекция „Развитие на селските райони“/ Управляващ орган на ПРСР, МЗХ</w:t>
      </w:r>
    </w:p>
    <w:p w:rsidR="00A2769E" w:rsidRDefault="00A2769E" w:rsidP="00A2769E">
      <w:pPr>
        <w:pStyle w:val="a5"/>
        <w:ind w:left="1485"/>
      </w:pPr>
      <w:r>
        <w:lastRenderedPageBreak/>
        <w:t xml:space="preserve">-          Емилия </w:t>
      </w:r>
      <w:proofErr w:type="spellStart"/>
      <w:r>
        <w:t>Лисичкова</w:t>
      </w:r>
      <w:proofErr w:type="spellEnd"/>
      <w:r>
        <w:t xml:space="preserve">, Председател, Платформа АГОРА (Активни </w:t>
      </w:r>
      <w:proofErr w:type="spellStart"/>
      <w:r>
        <w:t>гражданиски</w:t>
      </w:r>
      <w:proofErr w:type="spellEnd"/>
      <w:r>
        <w:t xml:space="preserve"> общности за развитие и алтернатива)</w:t>
      </w:r>
    </w:p>
    <w:p w:rsidR="00A2769E" w:rsidRDefault="00A2769E" w:rsidP="00A2769E">
      <w:pPr>
        <w:pStyle w:val="a5"/>
        <w:ind w:left="1485"/>
      </w:pPr>
      <w:r>
        <w:t>-          Димитър Ванев, Гл. директор, Национална служба за съвети в земеделието (НССЗ)</w:t>
      </w:r>
    </w:p>
    <w:p w:rsidR="00A2769E" w:rsidRDefault="00A2769E" w:rsidP="00A2769E">
      <w:pPr>
        <w:pStyle w:val="a5"/>
        <w:ind w:left="1485"/>
      </w:pPr>
      <w:r>
        <w:t xml:space="preserve">-          </w:t>
      </w:r>
      <w:proofErr w:type="spellStart"/>
      <w:r>
        <w:t>Магърдич</w:t>
      </w:r>
      <w:proofErr w:type="spellEnd"/>
      <w:r>
        <w:t xml:space="preserve"> </w:t>
      </w:r>
      <w:proofErr w:type="spellStart"/>
      <w:r>
        <w:t>Хулиян</w:t>
      </w:r>
      <w:proofErr w:type="spellEnd"/>
      <w:r>
        <w:t xml:space="preserve">, Председател, Национално сдружение на малките семейни ферми и </w:t>
      </w:r>
      <w:proofErr w:type="spellStart"/>
      <w:r>
        <w:t>преработватели</w:t>
      </w:r>
      <w:proofErr w:type="spellEnd"/>
      <w:r>
        <w:t xml:space="preserve"> (НСМСФП)</w:t>
      </w:r>
    </w:p>
    <w:p w:rsidR="00A2769E" w:rsidRDefault="00A2769E" w:rsidP="00A2769E">
      <w:pPr>
        <w:pStyle w:val="a5"/>
        <w:ind w:left="1485"/>
      </w:pPr>
      <w:r>
        <w:t>-          Мария Пенева, Доцент, Катедра „Икономика на природните ресурси“, Университет за национално и световно стопанство (УНСС)</w:t>
      </w:r>
    </w:p>
    <w:p w:rsidR="00A2769E" w:rsidRDefault="00A2769E" w:rsidP="00A2769E">
      <w:pPr>
        <w:pStyle w:val="a5"/>
        <w:ind w:left="1485"/>
      </w:pPr>
      <w:r>
        <w:t>-          Симеон Петков, Експерт, Национално сдружение на общините в Република България (НСОРБ)</w:t>
      </w:r>
    </w:p>
    <w:p w:rsidR="00A2769E" w:rsidRDefault="00A2769E" w:rsidP="00A2769E">
      <w:pPr>
        <w:pStyle w:val="a5"/>
        <w:ind w:left="1485"/>
      </w:pPr>
      <w:r>
        <w:t>-          Янка Казакова, Зам.-ръководител, Звено за управление на НСМ (ЗУ-НСМ)</w:t>
      </w:r>
    </w:p>
    <w:p w:rsidR="00A2769E" w:rsidRPr="00B26D40" w:rsidRDefault="00365A36" w:rsidP="00A2769E">
      <w:pPr>
        <w:pStyle w:val="a5"/>
        <w:rPr>
          <w:u w:val="single"/>
        </w:rPr>
      </w:pPr>
      <w:r>
        <w:rPr>
          <w:rStyle w:val="a8"/>
          <w:u w:val="single"/>
        </w:rPr>
        <w:t xml:space="preserve">   </w:t>
      </w:r>
      <w:r w:rsidR="00A2769E" w:rsidRPr="00B26D40">
        <w:rPr>
          <w:rStyle w:val="a8"/>
          <w:u w:val="single"/>
        </w:rPr>
        <w:t xml:space="preserve">Победители в Конкурс за избор на </w:t>
      </w:r>
      <w:r w:rsidR="00A2769E" w:rsidRPr="00B26D40">
        <w:rPr>
          <w:rStyle w:val="a9"/>
          <w:b/>
          <w:bCs/>
          <w:u w:val="single"/>
        </w:rPr>
        <w:t xml:space="preserve">най-добър проект, </w:t>
      </w:r>
      <w:r w:rsidR="00A2769E" w:rsidRPr="00B26D40">
        <w:rPr>
          <w:rStyle w:val="a8"/>
          <w:u w:val="single"/>
        </w:rPr>
        <w:t>избрани от комисия от експерти в областта на развитие на селските райони</w:t>
      </w:r>
    </w:p>
    <w:p w:rsidR="00A2769E" w:rsidRPr="00B26D40" w:rsidRDefault="00A2769E" w:rsidP="00A2769E">
      <w:pPr>
        <w:pStyle w:val="a5"/>
        <w:rPr>
          <w:color w:val="000000"/>
        </w:rPr>
      </w:pPr>
      <w:r>
        <w:t>Тема</w:t>
      </w:r>
      <w:r>
        <w:rPr>
          <w:rStyle w:val="a8"/>
        </w:rPr>
        <w:t xml:space="preserve"> Заетост: </w:t>
      </w:r>
      <w:hyperlink r:id="rId13" w:history="1">
        <w:r w:rsidRPr="00B26D40">
          <w:rPr>
            <w:rStyle w:val="a3"/>
            <w:b/>
            <w:bCs/>
            <w:color w:val="000000"/>
          </w:rPr>
          <w:t>Проект „Създаване на салон за красота „СИЖА” на територията на МИГ Кнежа“</w:t>
        </w:r>
      </w:hyperlink>
      <w:r w:rsidRPr="00B26D40">
        <w:rPr>
          <w:rStyle w:val="a8"/>
          <w:color w:val="000000"/>
        </w:rPr>
        <w:t xml:space="preserve"> </w:t>
      </w:r>
    </w:p>
    <w:p w:rsidR="008B59CA" w:rsidRPr="001A0E45" w:rsidRDefault="00F20FD0" w:rsidP="008B59CA">
      <w:pPr>
        <w:pStyle w:val="a5"/>
      </w:pPr>
      <w:r>
        <w:rPr>
          <w:noProof/>
        </w:rPr>
        <w:drawing>
          <wp:inline distT="0" distB="0" distL="0" distR="0">
            <wp:extent cx="5381625" cy="3181350"/>
            <wp:effectExtent l="19050" t="0" r="9525" b="0"/>
            <wp:docPr id="7" name="Картина 7" descr="12039329_479893672212885_429488706879069750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039329_479893672212885_4294887068790697507_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7E" w:rsidRDefault="00AB537E" w:rsidP="00AB537E">
      <w:pPr>
        <w:shd w:val="clear" w:color="auto" w:fill="FFFFFF"/>
        <w:spacing w:before="451"/>
        <w:ind w:left="1286"/>
        <w:rPr>
          <w:b/>
          <w:bCs/>
          <w:sz w:val="24"/>
          <w:szCs w:val="24"/>
        </w:rPr>
      </w:pPr>
    </w:p>
    <w:p w:rsidR="00AB537E" w:rsidRPr="00E846E2" w:rsidRDefault="00AB537E" w:rsidP="00AB537E">
      <w:pPr>
        <w:numPr>
          <w:ilvl w:val="0"/>
          <w:numId w:val="13"/>
        </w:numPr>
        <w:shd w:val="clear" w:color="auto" w:fill="FFFFFF"/>
        <w:tabs>
          <w:tab w:val="left" w:pos="355"/>
        </w:tabs>
        <w:spacing w:before="5" w:line="250" w:lineRule="exact"/>
        <w:ind w:left="355" w:hanging="3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Интернет-страницата на МИГ- Кнежа е информативна, това прави дейността на МИГ прозрачна и общодостъпна;</w:t>
      </w:r>
    </w:p>
    <w:p w:rsidR="00E846E2" w:rsidRPr="001C78EA" w:rsidRDefault="00E846E2" w:rsidP="00AB537E">
      <w:pPr>
        <w:numPr>
          <w:ilvl w:val="0"/>
          <w:numId w:val="13"/>
        </w:numPr>
        <w:shd w:val="clear" w:color="auto" w:fill="FFFFFF"/>
        <w:tabs>
          <w:tab w:val="left" w:pos="355"/>
        </w:tabs>
        <w:spacing w:before="5" w:line="250" w:lineRule="exact"/>
        <w:ind w:left="355" w:hanging="3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база направените проучвания на територията можем да отразим факта, че висок процент от местното население, вкл. </w:t>
      </w:r>
      <w:r w:rsidR="0015673B">
        <w:rPr>
          <w:color w:val="000000"/>
          <w:sz w:val="24"/>
          <w:szCs w:val="24"/>
        </w:rPr>
        <w:t>публичен и частен сектор са информирани и знаят за финансирането на Стратегията за местно развитие.</w:t>
      </w:r>
    </w:p>
    <w:p w:rsidR="00085225" w:rsidRDefault="001C78EA" w:rsidP="001C78EA">
      <w:pPr>
        <w:shd w:val="clear" w:color="auto" w:fill="FFFFFF"/>
        <w:tabs>
          <w:tab w:val="left" w:pos="355"/>
        </w:tabs>
        <w:spacing w:before="5" w:line="250" w:lineRule="exact"/>
        <w:ind w:lef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За успешното прилагане на СМР бе отчетен и факта, че при обявените приеми за проекти по СМР са подадени достатъчен брой проектни предложения и са договорирани</w:t>
      </w:r>
      <w:r w:rsidR="00CC4371">
        <w:rPr>
          <w:color w:val="000000"/>
          <w:sz w:val="24"/>
          <w:szCs w:val="24"/>
        </w:rPr>
        <w:t xml:space="preserve"> почти изцяло средствата по Стратегията, което показва една висока </w:t>
      </w:r>
      <w:r w:rsidR="00CC4371">
        <w:rPr>
          <w:color w:val="000000"/>
          <w:sz w:val="24"/>
          <w:szCs w:val="24"/>
        </w:rPr>
        <w:lastRenderedPageBreak/>
        <w:t>активност на местното население и преди всичко</w:t>
      </w:r>
      <w:r w:rsidR="00085225">
        <w:rPr>
          <w:color w:val="000000"/>
          <w:sz w:val="24"/>
          <w:szCs w:val="24"/>
        </w:rPr>
        <w:t xml:space="preserve"> достатъчно добра разгласа за текущите приеми.</w:t>
      </w:r>
    </w:p>
    <w:p w:rsidR="006C6B81" w:rsidRDefault="00085225" w:rsidP="006C6B81">
      <w:pPr>
        <w:shd w:val="clear" w:color="auto" w:fill="FFFFFF"/>
        <w:ind w:right="571" w:firstLine="542"/>
        <w:jc w:val="both"/>
      </w:pPr>
      <w:r>
        <w:rPr>
          <w:color w:val="000000"/>
          <w:sz w:val="24"/>
          <w:szCs w:val="24"/>
        </w:rPr>
        <w:t xml:space="preserve">         Постигнат висок резултат от страна на </w:t>
      </w:r>
      <w:r w:rsidR="00AF5E65">
        <w:rPr>
          <w:color w:val="000000"/>
          <w:sz w:val="24"/>
          <w:szCs w:val="24"/>
        </w:rPr>
        <w:t>екипа за управление на МИГ е декларираната потребност на бенефициентите да посещават офиса на МИГ за информация</w:t>
      </w:r>
      <w:r w:rsidR="006F73F4">
        <w:rPr>
          <w:color w:val="000000"/>
          <w:sz w:val="24"/>
          <w:szCs w:val="24"/>
        </w:rPr>
        <w:t>, и да ползват публичното пространство за информиране относно дейностите на МИГ и възможностите, които предлага.</w:t>
      </w:r>
      <w:r w:rsidR="001C78EA">
        <w:rPr>
          <w:color w:val="000000"/>
          <w:sz w:val="24"/>
          <w:szCs w:val="24"/>
        </w:rPr>
        <w:t xml:space="preserve"> </w:t>
      </w:r>
      <w:r w:rsidR="006C6B81">
        <w:rPr>
          <w:color w:val="000000"/>
          <w:sz w:val="24"/>
          <w:szCs w:val="24"/>
        </w:rPr>
        <w:t>В местното население има вече създаден навик да търси и да работи със специфичната информация, каквато представлява дейността на МИГ.</w:t>
      </w:r>
    </w:p>
    <w:p w:rsidR="006C6B81" w:rsidRDefault="006C6B81" w:rsidP="006C6B81">
      <w:pPr>
        <w:shd w:val="clear" w:color="auto" w:fill="FFFFFF"/>
        <w:ind w:right="576" w:firstLine="542"/>
        <w:jc w:val="both"/>
      </w:pPr>
      <w:r>
        <w:rPr>
          <w:color w:val="000000"/>
          <w:sz w:val="24"/>
          <w:szCs w:val="24"/>
        </w:rPr>
        <w:t>При информационни дейности на МИГ с местното население е осъзната необходимостта от прилагането на подхода Лидер да насърчава селските райони да търсят нови начини да станат или останат конкурентноспособни, да използват максимално своите ресурси и да преодолеят предизвикателствата, пред които са изправени като застаряващо население, ниско качество на предоставяне на услуги или липса на възможности за трудова заетост.</w:t>
      </w:r>
    </w:p>
    <w:p w:rsidR="006C6B81" w:rsidRDefault="006C6B81" w:rsidP="006C6B81">
      <w:pPr>
        <w:shd w:val="clear" w:color="auto" w:fill="FFFFFF"/>
        <w:ind w:right="581" w:firstLine="542"/>
        <w:jc w:val="both"/>
      </w:pPr>
      <w:r>
        <w:rPr>
          <w:color w:val="000000"/>
          <w:sz w:val="24"/>
          <w:szCs w:val="24"/>
        </w:rPr>
        <w:t>Всички дейности на МИГ, засягащи изпълнението на Стратегията за местно развитие, се представят на медиите, гражданите, местните структури и институции, както и на всички заинтересовани страни. За тази цел се използват различни подходи и комуникационни канали, подходящи за предаване на информацията към основните целеви групи.</w:t>
      </w:r>
      <w:r w:rsidRPr="006C6B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Всички информационни дейности на МИГ имат за цел да се активизира местното население за активно и информирано участие в изпълнение на Стратегията за местно развитие.</w:t>
      </w:r>
    </w:p>
    <w:p w:rsidR="006C6B81" w:rsidRDefault="006C6B81" w:rsidP="006C6B81">
      <w:pPr>
        <w:shd w:val="clear" w:color="auto" w:fill="FFFFFF"/>
        <w:ind w:right="576" w:firstLine="542"/>
        <w:jc w:val="both"/>
      </w:pPr>
      <w:r>
        <w:rPr>
          <w:color w:val="000000"/>
          <w:sz w:val="24"/>
          <w:szCs w:val="24"/>
        </w:rPr>
        <w:t>В заключение, информираността, публичността и осведомеността за основните параметри от СМР, осигурят на територията на МИГ-Кнежа:</w:t>
      </w:r>
    </w:p>
    <w:p w:rsidR="006C6B81" w:rsidRDefault="006C6B81" w:rsidP="006C6B81">
      <w:pPr>
        <w:shd w:val="clear" w:color="auto" w:fill="FFFFFF"/>
        <w:tabs>
          <w:tab w:val="left" w:pos="706"/>
        </w:tabs>
        <w:ind w:right="576" w:firstLine="542"/>
        <w:jc w:val="both"/>
      </w:pPr>
      <w:r>
        <w:rPr>
          <w:b/>
          <w:bCs/>
          <w:i/>
          <w:iCs/>
          <w:color w:val="000000"/>
          <w:sz w:val="24"/>
          <w:szCs w:val="24"/>
        </w:rPr>
        <w:t>-</w:t>
      </w:r>
      <w:r>
        <w:rPr>
          <w:b/>
          <w:bCs/>
          <w:i/>
          <w:iCs/>
          <w:color w:val="000000"/>
          <w:sz w:val="24"/>
          <w:szCs w:val="24"/>
        </w:rPr>
        <w:tab/>
        <w:t xml:space="preserve">Прозрачност </w:t>
      </w:r>
      <w:r>
        <w:rPr>
          <w:color w:val="000000"/>
          <w:sz w:val="24"/>
          <w:szCs w:val="24"/>
        </w:rPr>
        <w:t>– всички дейности са широко популяризирани с оглед осигуряване</w:t>
      </w:r>
      <w:r w:rsidR="00A055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 w:rsidR="00A055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пълна прозрачност за широката общественост, за идентифицираните целеви групи и</w:t>
      </w:r>
      <w:r w:rsidR="004E03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всички</w:t>
      </w:r>
      <w:r w:rsidR="004E03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заинтересовани страни от изпълнението на Стратегията.</w:t>
      </w:r>
    </w:p>
    <w:p w:rsidR="00BA1917" w:rsidRDefault="006C6B81" w:rsidP="00BA1917">
      <w:pPr>
        <w:shd w:val="clear" w:color="auto" w:fill="FFFFFF"/>
        <w:tabs>
          <w:tab w:val="left" w:pos="816"/>
        </w:tabs>
        <w:spacing w:before="120"/>
        <w:ind w:right="576" w:firstLine="542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-</w:t>
      </w:r>
      <w:r>
        <w:rPr>
          <w:b/>
          <w:bCs/>
          <w:i/>
          <w:iCs/>
          <w:color w:val="000000"/>
          <w:sz w:val="24"/>
          <w:szCs w:val="24"/>
        </w:rPr>
        <w:tab/>
        <w:t xml:space="preserve">Комуникация, съобразена със специфичните нужди </w:t>
      </w:r>
      <w:r>
        <w:rPr>
          <w:color w:val="000000"/>
          <w:sz w:val="24"/>
          <w:szCs w:val="24"/>
        </w:rPr>
        <w:t>– разпространение на</w:t>
      </w:r>
      <w:r w:rsidR="004E03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информация на достъпен за потенциалните кандидати език.</w:t>
      </w:r>
    </w:p>
    <w:p w:rsidR="006C6B81" w:rsidRDefault="006C6B81" w:rsidP="00BA1917">
      <w:pPr>
        <w:shd w:val="clear" w:color="auto" w:fill="FFFFFF"/>
        <w:tabs>
          <w:tab w:val="left" w:pos="816"/>
        </w:tabs>
        <w:spacing w:before="120"/>
        <w:ind w:right="576" w:firstLine="542"/>
        <w:jc w:val="both"/>
      </w:pPr>
      <w:r>
        <w:rPr>
          <w:color w:val="000000"/>
          <w:sz w:val="24"/>
          <w:szCs w:val="24"/>
        </w:rPr>
        <w:t>Добре реализираните дейности за информираност водят до:</w:t>
      </w:r>
    </w:p>
    <w:p w:rsidR="006C6B81" w:rsidRDefault="006C6B81" w:rsidP="006C6B81">
      <w:pPr>
        <w:numPr>
          <w:ilvl w:val="0"/>
          <w:numId w:val="16"/>
        </w:numPr>
        <w:shd w:val="clear" w:color="auto" w:fill="FFFFFF"/>
        <w:tabs>
          <w:tab w:val="left" w:pos="686"/>
        </w:tabs>
        <w:spacing w:before="154"/>
        <w:ind w:right="571" w:firstLine="5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Повишена осведоменост за мерките и дейностите, финансирани в Стратегията аз местно развитие, начина на кандидатстване, разработване на проекти, изпълнение и отчитане.</w:t>
      </w:r>
    </w:p>
    <w:p w:rsidR="006C6B81" w:rsidRDefault="006C6B81" w:rsidP="006C6B81">
      <w:pPr>
        <w:numPr>
          <w:ilvl w:val="0"/>
          <w:numId w:val="16"/>
        </w:numPr>
        <w:shd w:val="clear" w:color="auto" w:fill="FFFFFF"/>
        <w:tabs>
          <w:tab w:val="left" w:pos="686"/>
        </w:tabs>
        <w:ind w:right="581" w:firstLine="5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Изясняване на механизма за отпускане на финансово подпомагане чрез Ос 4 – Лидер, условията за допустимост, целите и приоритетите на всяка мярка в Стратегията за местно развитие.</w:t>
      </w:r>
    </w:p>
    <w:p w:rsidR="006C6B81" w:rsidRDefault="006C6B81" w:rsidP="006C6B81">
      <w:pPr>
        <w:numPr>
          <w:ilvl w:val="0"/>
          <w:numId w:val="16"/>
        </w:numPr>
        <w:shd w:val="clear" w:color="auto" w:fill="FFFFFF"/>
        <w:tabs>
          <w:tab w:val="left" w:pos="686"/>
        </w:tabs>
        <w:ind w:right="576" w:firstLine="5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Повишена осведоменост за ролята на ЕС, по-специално на ЕЗФРСР и техният принос за развитието селските райони в България;</w:t>
      </w:r>
    </w:p>
    <w:p w:rsidR="006C6B81" w:rsidRDefault="006C6B81" w:rsidP="006C6B81">
      <w:pPr>
        <w:numPr>
          <w:ilvl w:val="0"/>
          <w:numId w:val="16"/>
        </w:numPr>
        <w:shd w:val="clear" w:color="auto" w:fill="FFFFFF"/>
        <w:tabs>
          <w:tab w:val="left" w:pos="686"/>
        </w:tabs>
        <w:ind w:lef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По-добро разбиране на процедурите за кандидатстване за финансиране в СМР;</w:t>
      </w:r>
    </w:p>
    <w:p w:rsidR="006C6B81" w:rsidRDefault="006C6B81" w:rsidP="006C6B81">
      <w:pPr>
        <w:numPr>
          <w:ilvl w:val="0"/>
          <w:numId w:val="16"/>
        </w:numPr>
        <w:shd w:val="clear" w:color="auto" w:fill="FFFFFF"/>
        <w:tabs>
          <w:tab w:val="left" w:pos="686"/>
        </w:tabs>
        <w:ind w:lef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По-добро качество на предадените проектни предложения към МИГ.</w:t>
      </w:r>
    </w:p>
    <w:p w:rsidR="006C6B81" w:rsidRPr="00BA1917" w:rsidRDefault="006C6B81" w:rsidP="00BA1917">
      <w:pPr>
        <w:numPr>
          <w:ilvl w:val="0"/>
          <w:numId w:val="16"/>
        </w:numPr>
        <w:shd w:val="clear" w:color="auto" w:fill="FFFFFF"/>
        <w:tabs>
          <w:tab w:val="left" w:pos="686"/>
        </w:tabs>
        <w:ind w:left="542"/>
      </w:pPr>
      <w:r>
        <w:rPr>
          <w:color w:val="000000"/>
          <w:sz w:val="24"/>
          <w:szCs w:val="24"/>
        </w:rPr>
        <w:t>Прозрачност и мониторинг на изпълнението на Стратегията за местно развитие.</w:t>
      </w:r>
    </w:p>
    <w:p w:rsidR="00BA1917" w:rsidRDefault="00BA1917" w:rsidP="00BA1917">
      <w:pPr>
        <w:shd w:val="clear" w:color="auto" w:fill="FFFFFF"/>
        <w:tabs>
          <w:tab w:val="left" w:pos="686"/>
        </w:tabs>
        <w:rPr>
          <w:color w:val="000000"/>
          <w:sz w:val="24"/>
          <w:szCs w:val="24"/>
        </w:rPr>
      </w:pPr>
    </w:p>
    <w:p w:rsidR="00BA1917" w:rsidRDefault="00BA1917" w:rsidP="00BA1917">
      <w:pPr>
        <w:shd w:val="clear" w:color="auto" w:fill="FFFFFF"/>
        <w:tabs>
          <w:tab w:val="left" w:pos="686"/>
        </w:tabs>
        <w:rPr>
          <w:color w:val="000000"/>
          <w:sz w:val="24"/>
          <w:szCs w:val="24"/>
        </w:rPr>
      </w:pPr>
    </w:p>
    <w:p w:rsidR="00BA1917" w:rsidRDefault="00BA1917" w:rsidP="00BA1917">
      <w:pPr>
        <w:shd w:val="clear" w:color="auto" w:fill="FFFFFF"/>
        <w:tabs>
          <w:tab w:val="left" w:pos="686"/>
        </w:tabs>
      </w:pPr>
    </w:p>
    <w:p w:rsidR="00BA1917" w:rsidRDefault="00AB537E" w:rsidP="00621C60">
      <w:pPr>
        <w:shd w:val="clear" w:color="auto" w:fill="FFFFFF"/>
        <w:tabs>
          <w:tab w:val="left" w:pos="4944"/>
        </w:tabs>
        <w:spacing w:before="485"/>
        <w:ind w:left="9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Дата: </w:t>
      </w:r>
      <w:r w:rsidR="009E3840">
        <w:rPr>
          <w:b/>
          <w:bCs/>
          <w:sz w:val="24"/>
          <w:szCs w:val="24"/>
        </w:rPr>
        <w:t>04.04</w:t>
      </w:r>
      <w:r>
        <w:rPr>
          <w:b/>
          <w:bCs/>
          <w:sz w:val="24"/>
          <w:szCs w:val="24"/>
        </w:rPr>
        <w:t>.201</w:t>
      </w:r>
      <w:r w:rsidR="009E3840">
        <w:rPr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</w:rPr>
        <w:t xml:space="preserve"> г.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Председател на УС на МИГ Кнежа:</w:t>
      </w:r>
    </w:p>
    <w:p w:rsidR="00AB537E" w:rsidRDefault="00BA1917" w:rsidP="00621C60">
      <w:pPr>
        <w:shd w:val="clear" w:color="auto" w:fill="FFFFFF"/>
        <w:tabs>
          <w:tab w:val="left" w:pos="4944"/>
        </w:tabs>
        <w:spacing w:before="485"/>
        <w:ind w:left="950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="00AB537E">
        <w:rPr>
          <w:b/>
          <w:bCs/>
          <w:sz w:val="24"/>
          <w:szCs w:val="24"/>
        </w:rPr>
        <w:t xml:space="preserve">/ Милена Желева Горанова /  </w:t>
      </w:r>
    </w:p>
    <w:p w:rsidR="00357940" w:rsidRDefault="00357940"/>
    <w:sectPr w:rsidR="00357940" w:rsidSect="00BA191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>
    <w:nsid w:val="FFFFFFFE"/>
    <w:multiLevelType w:val="singleLevel"/>
    <w:tmpl w:val="94AADA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0393C"/>
    <w:multiLevelType w:val="singleLevel"/>
    <w:tmpl w:val="DD6E6FD2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B572E5"/>
    <w:multiLevelType w:val="hybridMultilevel"/>
    <w:tmpl w:val="3D38F53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844F4"/>
    <w:multiLevelType w:val="singleLevel"/>
    <w:tmpl w:val="FD289666"/>
    <w:lvl w:ilvl="0">
      <w:start w:val="1"/>
      <w:numFmt w:val="decimal"/>
      <w:lvlText w:val="4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20552736"/>
    <w:multiLevelType w:val="hybridMultilevel"/>
    <w:tmpl w:val="F258D0CC"/>
    <w:lvl w:ilvl="0" w:tplc="0F14D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E21BA"/>
    <w:multiLevelType w:val="hybridMultilevel"/>
    <w:tmpl w:val="9CD8990A"/>
    <w:lvl w:ilvl="0" w:tplc="0F14D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C256C"/>
    <w:multiLevelType w:val="hybridMultilevel"/>
    <w:tmpl w:val="B1D4C1FC"/>
    <w:lvl w:ilvl="0" w:tplc="0F14D4B6">
      <w:start w:val="1"/>
      <w:numFmt w:val="bullet"/>
      <w:lvlText w:val=""/>
      <w:lvlPicBulletId w:val="0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E7F5B"/>
    <w:multiLevelType w:val="singleLevel"/>
    <w:tmpl w:val="50E28282"/>
    <w:lvl w:ilvl="0">
      <w:start w:val="5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1E6212B"/>
    <w:multiLevelType w:val="multilevel"/>
    <w:tmpl w:val="1734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9">
    <w:nsid w:val="65513267"/>
    <w:multiLevelType w:val="hybridMultilevel"/>
    <w:tmpl w:val="B73C051C"/>
    <w:lvl w:ilvl="0" w:tplc="0F14D4B6">
      <w:start w:val="1"/>
      <w:numFmt w:val="bullet"/>
      <w:lvlText w:val=""/>
      <w:lvlPicBulletId w:val="0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8457E"/>
    <w:multiLevelType w:val="hybridMultilevel"/>
    <w:tmpl w:val="65340D38"/>
    <w:lvl w:ilvl="0" w:tplc="0F14D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F5963"/>
    <w:multiLevelType w:val="hybridMultilevel"/>
    <w:tmpl w:val="5A40DF74"/>
    <w:lvl w:ilvl="0" w:tplc="0F14D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5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2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B537E"/>
    <w:rsid w:val="00000482"/>
    <w:rsid w:val="000017B5"/>
    <w:rsid w:val="00050AF5"/>
    <w:rsid w:val="00071AB9"/>
    <w:rsid w:val="000744A0"/>
    <w:rsid w:val="00085225"/>
    <w:rsid w:val="0009118B"/>
    <w:rsid w:val="00094B8F"/>
    <w:rsid w:val="000B0863"/>
    <w:rsid w:val="000F1A70"/>
    <w:rsid w:val="00107C09"/>
    <w:rsid w:val="0014051A"/>
    <w:rsid w:val="00151F28"/>
    <w:rsid w:val="0015673B"/>
    <w:rsid w:val="001721A7"/>
    <w:rsid w:val="00173A59"/>
    <w:rsid w:val="001A0E45"/>
    <w:rsid w:val="001A6909"/>
    <w:rsid w:val="001C3210"/>
    <w:rsid w:val="001C78EA"/>
    <w:rsid w:val="001D3F98"/>
    <w:rsid w:val="001D5A18"/>
    <w:rsid w:val="001F335B"/>
    <w:rsid w:val="002205D2"/>
    <w:rsid w:val="00220A94"/>
    <w:rsid w:val="002310A6"/>
    <w:rsid w:val="0026456E"/>
    <w:rsid w:val="002B7910"/>
    <w:rsid w:val="002C246F"/>
    <w:rsid w:val="002C252E"/>
    <w:rsid w:val="002D51DC"/>
    <w:rsid w:val="002D7921"/>
    <w:rsid w:val="002E7157"/>
    <w:rsid w:val="002F1AF7"/>
    <w:rsid w:val="0031711F"/>
    <w:rsid w:val="00336766"/>
    <w:rsid w:val="00357940"/>
    <w:rsid w:val="00365A36"/>
    <w:rsid w:val="00377CA5"/>
    <w:rsid w:val="003922BC"/>
    <w:rsid w:val="003B1335"/>
    <w:rsid w:val="003C097B"/>
    <w:rsid w:val="003C2944"/>
    <w:rsid w:val="003C713C"/>
    <w:rsid w:val="00417D12"/>
    <w:rsid w:val="0043535A"/>
    <w:rsid w:val="004511FC"/>
    <w:rsid w:val="00490518"/>
    <w:rsid w:val="00493397"/>
    <w:rsid w:val="004A0E71"/>
    <w:rsid w:val="004B64CA"/>
    <w:rsid w:val="004D336A"/>
    <w:rsid w:val="004D3B2E"/>
    <w:rsid w:val="004D55AF"/>
    <w:rsid w:val="004D7850"/>
    <w:rsid w:val="004E0345"/>
    <w:rsid w:val="00511DB1"/>
    <w:rsid w:val="00522D1E"/>
    <w:rsid w:val="00525A93"/>
    <w:rsid w:val="00536402"/>
    <w:rsid w:val="0054693F"/>
    <w:rsid w:val="00556B9C"/>
    <w:rsid w:val="0057180B"/>
    <w:rsid w:val="005843E3"/>
    <w:rsid w:val="00586566"/>
    <w:rsid w:val="00592C2E"/>
    <w:rsid w:val="005A38D6"/>
    <w:rsid w:val="005C340B"/>
    <w:rsid w:val="005D5F2E"/>
    <w:rsid w:val="005E0541"/>
    <w:rsid w:val="005E1846"/>
    <w:rsid w:val="005E3150"/>
    <w:rsid w:val="00612642"/>
    <w:rsid w:val="00621C60"/>
    <w:rsid w:val="0063387C"/>
    <w:rsid w:val="006737CA"/>
    <w:rsid w:val="00680C6F"/>
    <w:rsid w:val="0069755F"/>
    <w:rsid w:val="006C6B81"/>
    <w:rsid w:val="006F73F4"/>
    <w:rsid w:val="007057E7"/>
    <w:rsid w:val="007B2CDC"/>
    <w:rsid w:val="007C4C7E"/>
    <w:rsid w:val="007E4167"/>
    <w:rsid w:val="007F1E75"/>
    <w:rsid w:val="007F5713"/>
    <w:rsid w:val="007F6EE6"/>
    <w:rsid w:val="008145D2"/>
    <w:rsid w:val="00857C37"/>
    <w:rsid w:val="00862300"/>
    <w:rsid w:val="00895B37"/>
    <w:rsid w:val="008A736E"/>
    <w:rsid w:val="008B59CA"/>
    <w:rsid w:val="008C5525"/>
    <w:rsid w:val="008D6445"/>
    <w:rsid w:val="008E7418"/>
    <w:rsid w:val="008F0672"/>
    <w:rsid w:val="0093337A"/>
    <w:rsid w:val="00935A21"/>
    <w:rsid w:val="009401B8"/>
    <w:rsid w:val="0094155A"/>
    <w:rsid w:val="009566E9"/>
    <w:rsid w:val="00970B97"/>
    <w:rsid w:val="0097297F"/>
    <w:rsid w:val="00986701"/>
    <w:rsid w:val="009C1948"/>
    <w:rsid w:val="009E3840"/>
    <w:rsid w:val="00A028E7"/>
    <w:rsid w:val="00A05568"/>
    <w:rsid w:val="00A2769E"/>
    <w:rsid w:val="00A5281C"/>
    <w:rsid w:val="00A6567F"/>
    <w:rsid w:val="00A90DE0"/>
    <w:rsid w:val="00AA55D7"/>
    <w:rsid w:val="00AA57AD"/>
    <w:rsid w:val="00AB537E"/>
    <w:rsid w:val="00AC042E"/>
    <w:rsid w:val="00AF4737"/>
    <w:rsid w:val="00AF5E65"/>
    <w:rsid w:val="00B26D40"/>
    <w:rsid w:val="00B5187D"/>
    <w:rsid w:val="00B54A4B"/>
    <w:rsid w:val="00B7091A"/>
    <w:rsid w:val="00B81F04"/>
    <w:rsid w:val="00B84023"/>
    <w:rsid w:val="00B87B4A"/>
    <w:rsid w:val="00BA1917"/>
    <w:rsid w:val="00BA5281"/>
    <w:rsid w:val="00BC4B8C"/>
    <w:rsid w:val="00BC7DE4"/>
    <w:rsid w:val="00BE6A8C"/>
    <w:rsid w:val="00C001BD"/>
    <w:rsid w:val="00C14C7E"/>
    <w:rsid w:val="00C22D0B"/>
    <w:rsid w:val="00C32F8B"/>
    <w:rsid w:val="00C60F99"/>
    <w:rsid w:val="00C649D3"/>
    <w:rsid w:val="00C72007"/>
    <w:rsid w:val="00C86B6D"/>
    <w:rsid w:val="00C902E4"/>
    <w:rsid w:val="00CC4371"/>
    <w:rsid w:val="00CE0F60"/>
    <w:rsid w:val="00CE1A46"/>
    <w:rsid w:val="00D14F81"/>
    <w:rsid w:val="00D15851"/>
    <w:rsid w:val="00D31167"/>
    <w:rsid w:val="00DB11BF"/>
    <w:rsid w:val="00DE3980"/>
    <w:rsid w:val="00DE558C"/>
    <w:rsid w:val="00E3471D"/>
    <w:rsid w:val="00E57145"/>
    <w:rsid w:val="00E846E2"/>
    <w:rsid w:val="00E90094"/>
    <w:rsid w:val="00EA78E9"/>
    <w:rsid w:val="00EC4C75"/>
    <w:rsid w:val="00EF5C6B"/>
    <w:rsid w:val="00F05F3D"/>
    <w:rsid w:val="00F20FD0"/>
    <w:rsid w:val="00F651CE"/>
    <w:rsid w:val="00FA2057"/>
    <w:rsid w:val="00FF3219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37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37E"/>
    <w:rPr>
      <w:color w:val="0000FF"/>
      <w:u w:val="single"/>
    </w:rPr>
  </w:style>
  <w:style w:type="character" w:styleId="a4">
    <w:name w:val="FollowedHyperlink"/>
    <w:basedOn w:val="a0"/>
    <w:rsid w:val="00AB537E"/>
    <w:rPr>
      <w:color w:val="800080"/>
      <w:u w:val="single"/>
    </w:rPr>
  </w:style>
  <w:style w:type="paragraph" w:styleId="a5">
    <w:name w:val="Normal (Web)"/>
    <w:basedOn w:val="a"/>
    <w:rsid w:val="00AB53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rsid w:val="00AB537E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AB537E"/>
    <w:pPr>
      <w:tabs>
        <w:tab w:val="center" w:pos="4536"/>
        <w:tab w:val="right" w:pos="9072"/>
      </w:tabs>
    </w:pPr>
  </w:style>
  <w:style w:type="paragraph" w:customStyle="1" w:styleId="CharCharZchnZchnChar">
    <w:name w:val="Знак Знак Char Char Zchn Zchn Знак Знак Char"/>
    <w:basedOn w:val="a"/>
    <w:rsid w:val="00AB537E"/>
    <w:pPr>
      <w:widowControl/>
      <w:suppressAutoHyphens/>
      <w:autoSpaceDE/>
      <w:autoSpaceDN/>
      <w:adjustRightInd/>
      <w:spacing w:after="160" w:line="240" w:lineRule="exact"/>
    </w:pPr>
    <w:rPr>
      <w:rFonts w:ascii="Tahoma" w:hAnsi="Tahoma"/>
      <w:sz w:val="24"/>
      <w:szCs w:val="24"/>
      <w:lang w:val="en-US" w:eastAsia="ar-SA"/>
    </w:rPr>
  </w:style>
  <w:style w:type="paragraph" w:customStyle="1" w:styleId="Default">
    <w:name w:val="Default"/>
    <w:rsid w:val="00AB5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Strong"/>
    <w:basedOn w:val="a0"/>
    <w:qFormat/>
    <w:rsid w:val="002E7157"/>
    <w:rPr>
      <w:b/>
      <w:bCs/>
    </w:rPr>
  </w:style>
  <w:style w:type="character" w:styleId="a9">
    <w:name w:val="Emphasis"/>
    <w:basedOn w:val="a0"/>
    <w:qFormat/>
    <w:rsid w:val="00A2769E"/>
    <w:rPr>
      <w:i/>
      <w:iCs/>
    </w:rPr>
  </w:style>
  <w:style w:type="paragraph" w:styleId="aa">
    <w:name w:val="Balloon Text"/>
    <w:basedOn w:val="a"/>
    <w:link w:val="ab"/>
    <w:rsid w:val="009E384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9E3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nsm.bg/sites/default/files/Dobra%20praktika_MIG%20Kneja_M311_salon%20za%20krasota_Plev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://www.nsm.bg/novina/eto-koi-sa-pobediteli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knezha-leader.com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cvid.mig.knezha@mail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6264</Words>
  <Characters>35710</Characters>
  <Application>Microsoft Office Word</Application>
  <DocSecurity>0</DocSecurity>
  <Lines>297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41891</CharactersWithSpaces>
  <SharedDoc>false</SharedDoc>
  <HLinks>
    <vt:vector size="24" baseType="variant">
      <vt:variant>
        <vt:i4>1638471</vt:i4>
      </vt:variant>
      <vt:variant>
        <vt:i4>12</vt:i4>
      </vt:variant>
      <vt:variant>
        <vt:i4>0</vt:i4>
      </vt:variant>
      <vt:variant>
        <vt:i4>5</vt:i4>
      </vt:variant>
      <vt:variant>
        <vt:lpwstr>http://www.nsm.bg/sites/default/files/Dobra praktika_MIG Kneja_M311_salon za krasota_Pleven.pdf</vt:lpwstr>
      </vt:variant>
      <vt:variant>
        <vt:lpwstr/>
      </vt:variant>
      <vt:variant>
        <vt:i4>6160467</vt:i4>
      </vt:variant>
      <vt:variant>
        <vt:i4>9</vt:i4>
      </vt:variant>
      <vt:variant>
        <vt:i4>0</vt:i4>
      </vt:variant>
      <vt:variant>
        <vt:i4>5</vt:i4>
      </vt:variant>
      <vt:variant>
        <vt:lpwstr>http://www.nsm.bg/novina/eto-koi-sa-pobeditelite</vt:lpwstr>
      </vt:variant>
      <vt:variant>
        <vt:lpwstr/>
      </vt:variant>
      <vt:variant>
        <vt:i4>1900556</vt:i4>
      </vt:variant>
      <vt:variant>
        <vt:i4>3</vt:i4>
      </vt:variant>
      <vt:variant>
        <vt:i4>0</vt:i4>
      </vt:variant>
      <vt:variant>
        <vt:i4>5</vt:i4>
      </vt:variant>
      <vt:variant>
        <vt:lpwstr>http://www.knezha-leader.com/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mailto:cvid.mig.knezha@mail.bg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</dc:creator>
  <cp:lastModifiedBy>Admin</cp:lastModifiedBy>
  <cp:revision>4</cp:revision>
  <cp:lastPrinted>2016-03-31T12:15:00Z</cp:lastPrinted>
  <dcterms:created xsi:type="dcterms:W3CDTF">2016-03-31T12:08:00Z</dcterms:created>
  <dcterms:modified xsi:type="dcterms:W3CDTF">2016-03-31T12:15:00Z</dcterms:modified>
</cp:coreProperties>
</file>